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3921" w14:textId="3336C72B" w:rsidR="00833C4B" w:rsidRDefault="004E0AAB" w:rsidP="00993E2D">
      <w:pPr>
        <w:keepNext/>
        <w:keepLines/>
        <w:spacing w:before="240" w:after="400" w:line="240" w:lineRule="auto"/>
        <w:ind w:left="432" w:hanging="432"/>
        <w:contextualSpacing/>
        <w:outlineLvl w:val="0"/>
        <w:rPr>
          <w:rFonts w:ascii="Arial" w:eastAsia="Times New Roman" w:hAnsi="Arial" w:cs="Times New Roman"/>
          <w:b/>
          <w:color w:val="17884B"/>
          <w:kern w:val="28"/>
          <w:sz w:val="40"/>
          <w:szCs w:val="56"/>
        </w:rPr>
      </w:pPr>
      <w:r w:rsidRPr="00993E2D">
        <w:rPr>
          <w:rFonts w:ascii="Arial" w:eastAsia="Times New Roman" w:hAnsi="Arial" w:cs="Times New Roman"/>
          <w:b/>
          <w:color w:val="17884B"/>
          <w:kern w:val="28"/>
          <w:sz w:val="40"/>
          <w:szCs w:val="56"/>
        </w:rPr>
        <w:t>Hilfestellung für den Zwischennachweis</w:t>
      </w:r>
      <w:r w:rsidR="008662E3" w:rsidRPr="00993E2D">
        <w:rPr>
          <w:rFonts w:ascii="Arial" w:eastAsia="Times New Roman" w:hAnsi="Arial" w:cs="Times New Roman"/>
          <w:b/>
          <w:color w:val="17884B"/>
          <w:kern w:val="28"/>
          <w:sz w:val="40"/>
          <w:szCs w:val="56"/>
        </w:rPr>
        <w:br/>
      </w:r>
      <w:r w:rsidR="0021411C" w:rsidRPr="00993E2D">
        <w:rPr>
          <w:rFonts w:ascii="Arial" w:eastAsia="Times New Roman" w:hAnsi="Arial" w:cs="Times New Roman"/>
          <w:b/>
          <w:color w:val="17884B"/>
          <w:kern w:val="28"/>
          <w:sz w:val="40"/>
          <w:szCs w:val="56"/>
        </w:rPr>
        <w:t>„</w:t>
      </w:r>
      <w:r w:rsidR="008662E3" w:rsidRPr="00993E2D">
        <w:rPr>
          <w:rFonts w:ascii="Arial" w:eastAsia="Times New Roman" w:hAnsi="Arial" w:cs="Times New Roman"/>
          <w:b/>
          <w:color w:val="17884B"/>
          <w:kern w:val="28"/>
          <w:sz w:val="40"/>
          <w:szCs w:val="56"/>
        </w:rPr>
        <w:t>Klimaschutz im Alltag</w:t>
      </w:r>
      <w:r w:rsidR="0021411C" w:rsidRPr="00993E2D">
        <w:rPr>
          <w:rFonts w:ascii="Arial" w:eastAsia="Times New Roman" w:hAnsi="Arial" w:cs="Times New Roman"/>
          <w:b/>
          <w:color w:val="17884B"/>
          <w:kern w:val="28"/>
          <w:sz w:val="40"/>
          <w:szCs w:val="56"/>
        </w:rPr>
        <w:t>“</w:t>
      </w:r>
    </w:p>
    <w:p w14:paraId="57839C3A" w14:textId="77777777" w:rsidR="00993E2D" w:rsidRPr="00993E2D" w:rsidRDefault="00993E2D" w:rsidP="00993E2D">
      <w:pPr>
        <w:keepNext/>
        <w:keepLines/>
        <w:spacing w:before="240" w:after="400" w:line="240" w:lineRule="auto"/>
        <w:ind w:left="432" w:hanging="432"/>
        <w:contextualSpacing/>
        <w:outlineLvl w:val="0"/>
        <w:rPr>
          <w:rFonts w:ascii="Arial" w:eastAsia="Times New Roman" w:hAnsi="Arial" w:cs="Times New Roman"/>
          <w:b/>
          <w:color w:val="17884B"/>
          <w:kern w:val="28"/>
          <w:sz w:val="40"/>
          <w:szCs w:val="56"/>
        </w:rPr>
      </w:pPr>
    </w:p>
    <w:p w14:paraId="6980213D" w14:textId="77777777" w:rsidR="004E0AAB" w:rsidRPr="00993E2D" w:rsidRDefault="004E0AAB" w:rsidP="00993E2D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993E2D">
        <w:rPr>
          <w:rFonts w:ascii="Arial" w:hAnsi="Arial" w:cs="Arial"/>
          <w:b/>
          <w:sz w:val="24"/>
          <w:szCs w:val="24"/>
        </w:rPr>
        <w:t>Beleglisten</w:t>
      </w:r>
    </w:p>
    <w:p w14:paraId="73880ACE" w14:textId="64AEB230" w:rsidR="004E0AAB" w:rsidRPr="00993E2D" w:rsidRDefault="004E0AAB" w:rsidP="00993E2D">
      <w:pPr>
        <w:pStyle w:val="Listenabsatz"/>
        <w:numPr>
          <w:ilvl w:val="0"/>
          <w:numId w:val="1"/>
        </w:numPr>
        <w:spacing w:after="60"/>
        <w:ind w:left="426" w:hanging="426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 xml:space="preserve">Laut </w:t>
      </w:r>
      <w:r w:rsidR="005E5EF7" w:rsidRPr="00993E2D">
        <w:rPr>
          <w:rFonts w:ascii="Arial" w:hAnsi="Arial" w:cs="Arial"/>
        </w:rPr>
        <w:t xml:space="preserve">der weiteren </w:t>
      </w:r>
      <w:r w:rsidRPr="00993E2D">
        <w:rPr>
          <w:rFonts w:ascii="Arial" w:hAnsi="Arial" w:cs="Arial"/>
        </w:rPr>
        <w:t>Nebenbestimmungen zum Zuwendungsbescheid sind die Beleglisten</w:t>
      </w:r>
      <w:r w:rsidR="005E5EF7" w:rsidRPr="00993E2D">
        <w:rPr>
          <w:rFonts w:ascii="Arial" w:hAnsi="Arial" w:cs="Arial"/>
        </w:rPr>
        <w:t xml:space="preserve"> </w:t>
      </w:r>
      <w:r w:rsidRPr="00993E2D">
        <w:rPr>
          <w:rFonts w:ascii="Arial" w:hAnsi="Arial" w:cs="Arial"/>
        </w:rPr>
        <w:t>zum Zwischennachweis in digitaler</w:t>
      </w:r>
      <w:r w:rsidR="00BE1FA0" w:rsidRPr="00993E2D">
        <w:rPr>
          <w:rFonts w:ascii="Arial" w:hAnsi="Arial" w:cs="Arial"/>
        </w:rPr>
        <w:t xml:space="preserve"> und in Papierform einzureichen</w:t>
      </w:r>
      <w:r w:rsidR="005E5EF7" w:rsidRPr="00993E2D">
        <w:rPr>
          <w:rFonts w:ascii="Arial" w:hAnsi="Arial" w:cs="Arial"/>
        </w:rPr>
        <w:t>, ergänzend zu Nr. 6 ANBest-P/ANBest-Gk,</w:t>
      </w:r>
    </w:p>
    <w:p w14:paraId="45138562" w14:textId="77777777" w:rsidR="00BE1FA0" w:rsidRPr="00993E2D" w:rsidRDefault="00BE1FA0" w:rsidP="00993E2D">
      <w:pPr>
        <w:pStyle w:val="Listenabsatz"/>
        <w:numPr>
          <w:ilvl w:val="0"/>
          <w:numId w:val="1"/>
        </w:numPr>
        <w:spacing w:after="60"/>
        <w:ind w:left="426" w:hanging="426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Die Beleglisten sind digital zu bearbeiten, da diese auch elektronisch einzureichen sind.</w:t>
      </w:r>
    </w:p>
    <w:p w14:paraId="18F0E6E2" w14:textId="77777777" w:rsidR="00343832" w:rsidRPr="00993E2D" w:rsidRDefault="00BE1FA0" w:rsidP="00993E2D">
      <w:pPr>
        <w:pStyle w:val="Listenabsatz"/>
        <w:numPr>
          <w:ilvl w:val="0"/>
          <w:numId w:val="1"/>
        </w:numPr>
        <w:spacing w:after="60"/>
        <w:ind w:left="426" w:hanging="426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 xml:space="preserve">Beim Ausfüllen der Beleglisten </w:t>
      </w:r>
      <w:r w:rsidR="00343832" w:rsidRPr="00993E2D">
        <w:rPr>
          <w:rFonts w:ascii="Arial" w:hAnsi="Arial" w:cs="Arial"/>
        </w:rPr>
        <w:t xml:space="preserve">ist </w:t>
      </w:r>
      <w:r w:rsidRPr="00993E2D">
        <w:rPr>
          <w:rFonts w:ascii="Arial" w:hAnsi="Arial" w:cs="Arial"/>
        </w:rPr>
        <w:t xml:space="preserve">darauf </w:t>
      </w:r>
      <w:r w:rsidR="00343832" w:rsidRPr="00993E2D">
        <w:rPr>
          <w:rFonts w:ascii="Arial" w:hAnsi="Arial" w:cs="Arial"/>
        </w:rPr>
        <w:t xml:space="preserve">zu </w:t>
      </w:r>
      <w:r w:rsidRPr="00993E2D">
        <w:rPr>
          <w:rFonts w:ascii="Arial" w:hAnsi="Arial" w:cs="Arial"/>
        </w:rPr>
        <w:t xml:space="preserve">achten, dass </w:t>
      </w:r>
      <w:r w:rsidR="00343832" w:rsidRPr="00993E2D">
        <w:rPr>
          <w:rFonts w:ascii="Arial" w:hAnsi="Arial" w:cs="Arial"/>
        </w:rPr>
        <w:t xml:space="preserve">durch die Angaben im </w:t>
      </w:r>
      <w:r w:rsidRPr="00993E2D">
        <w:rPr>
          <w:rFonts w:ascii="Arial" w:hAnsi="Arial" w:cs="Arial"/>
        </w:rPr>
        <w:t xml:space="preserve">Feld „Zahlungsgrund“ </w:t>
      </w:r>
      <w:r w:rsidR="00343832" w:rsidRPr="00993E2D">
        <w:rPr>
          <w:rFonts w:ascii="Arial" w:hAnsi="Arial" w:cs="Arial"/>
        </w:rPr>
        <w:t>eine eindeutige Projektzuordnung der Ausgabe möglich ist</w:t>
      </w:r>
      <w:r w:rsidRPr="00993E2D">
        <w:rPr>
          <w:rFonts w:ascii="Arial" w:hAnsi="Arial" w:cs="Arial"/>
        </w:rPr>
        <w:t xml:space="preserve">. </w:t>
      </w:r>
      <w:r w:rsidR="00343832" w:rsidRPr="00993E2D">
        <w:rPr>
          <w:rFonts w:ascii="Arial" w:hAnsi="Arial" w:cs="Arial"/>
        </w:rPr>
        <w:t>Im Feld „Datum der Zahlung“ ist das tatsächliche Zahlungsdatum laut Kontoauszug anzugeben.</w:t>
      </w:r>
    </w:p>
    <w:p w14:paraId="6CD61D41" w14:textId="240CBEFE" w:rsidR="00BE1FA0" w:rsidRPr="00993E2D" w:rsidRDefault="00BE1FA0" w:rsidP="00993E2D">
      <w:pPr>
        <w:pStyle w:val="Listenabsatz"/>
        <w:numPr>
          <w:ilvl w:val="0"/>
          <w:numId w:val="1"/>
        </w:numPr>
        <w:spacing w:after="60"/>
        <w:ind w:left="426" w:hanging="426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 xml:space="preserve">Die Beleglisten sollten </w:t>
      </w:r>
      <w:r w:rsidR="00343832" w:rsidRPr="00993E2D">
        <w:rPr>
          <w:rFonts w:ascii="Arial" w:hAnsi="Arial" w:cs="Arial"/>
        </w:rPr>
        <w:t xml:space="preserve">über die gesamte Laufzeit des Vorhabens </w:t>
      </w:r>
      <w:r w:rsidRPr="00993E2D">
        <w:rPr>
          <w:rFonts w:ascii="Arial" w:hAnsi="Arial" w:cs="Arial"/>
        </w:rPr>
        <w:t xml:space="preserve">fortlaufend geführt werden, damit </w:t>
      </w:r>
      <w:r w:rsidR="00343832" w:rsidRPr="00993E2D">
        <w:rPr>
          <w:rFonts w:ascii="Arial" w:hAnsi="Arial" w:cs="Arial"/>
        </w:rPr>
        <w:t xml:space="preserve">der Zuwendungsempfänger stets einen aktuellen </w:t>
      </w:r>
      <w:r w:rsidRPr="00993E2D">
        <w:rPr>
          <w:rFonts w:ascii="Arial" w:hAnsi="Arial" w:cs="Arial"/>
        </w:rPr>
        <w:t xml:space="preserve">Überblick über die Finanzstruktur </w:t>
      </w:r>
      <w:r w:rsidR="00343832" w:rsidRPr="00993E2D">
        <w:rPr>
          <w:rFonts w:ascii="Arial" w:hAnsi="Arial" w:cs="Arial"/>
        </w:rPr>
        <w:t>des Vorhabens hat</w:t>
      </w:r>
      <w:r w:rsidRPr="00993E2D">
        <w:rPr>
          <w:rFonts w:ascii="Arial" w:hAnsi="Arial" w:cs="Arial"/>
        </w:rPr>
        <w:t>.</w:t>
      </w:r>
      <w:r w:rsidR="00F05A77" w:rsidRPr="00993E2D">
        <w:rPr>
          <w:rFonts w:ascii="Arial" w:hAnsi="Arial" w:cs="Arial"/>
        </w:rPr>
        <w:t xml:space="preserve"> Dies ermöglich </w:t>
      </w:r>
      <w:r w:rsidR="00343832" w:rsidRPr="00993E2D">
        <w:rPr>
          <w:rFonts w:ascii="Arial" w:hAnsi="Arial" w:cs="Arial"/>
        </w:rPr>
        <w:t>dem Zuwendungsempfänger unter a</w:t>
      </w:r>
      <w:r w:rsidR="00F05A77" w:rsidRPr="00993E2D">
        <w:rPr>
          <w:rFonts w:ascii="Arial" w:hAnsi="Arial" w:cs="Arial"/>
        </w:rPr>
        <w:t xml:space="preserve">nderem frühzeitig zu erkennen, ob eine Finanzposition demnächst ausgeschöpft ist und ob ggfs. ein Umwidmungsantrag </w:t>
      </w:r>
      <w:r w:rsidR="00343832" w:rsidRPr="00993E2D">
        <w:rPr>
          <w:rFonts w:ascii="Arial" w:hAnsi="Arial" w:cs="Arial"/>
        </w:rPr>
        <w:t>an den Projektträger gestellt werden muss</w:t>
      </w:r>
      <w:r w:rsidR="00F05A77" w:rsidRPr="00993E2D">
        <w:rPr>
          <w:rFonts w:ascii="Arial" w:hAnsi="Arial" w:cs="Arial"/>
        </w:rPr>
        <w:t>.</w:t>
      </w:r>
      <w:r w:rsidR="00CA0EF3" w:rsidRPr="00993E2D">
        <w:rPr>
          <w:rFonts w:ascii="Arial" w:hAnsi="Arial" w:cs="Arial"/>
        </w:rPr>
        <w:t xml:space="preserve"> Hier ist bitte die Nr. 1.2 ANBest-P / ANBest-Gk zu beachten: Bei geplanten Verschiebungen über 20% Abweichung muss ein Antrag auf Mittelumwidmung eingereicht werden. Bei Verschiebungen, die unter 20% liegen, bitten wir um formlose Mitteilung der Änderung.</w:t>
      </w:r>
    </w:p>
    <w:p w14:paraId="5CC892A1" w14:textId="2B510908" w:rsidR="00CA0EF3" w:rsidRPr="00993E2D" w:rsidRDefault="00CA0EF3" w:rsidP="00993E2D">
      <w:pPr>
        <w:pStyle w:val="Listenabsatz"/>
        <w:numPr>
          <w:ilvl w:val="0"/>
          <w:numId w:val="1"/>
        </w:numPr>
        <w:spacing w:after="60"/>
        <w:ind w:left="426" w:hanging="426"/>
        <w:contextualSpacing w:val="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993E2D">
        <w:rPr>
          <w:rStyle w:val="fontstyle01"/>
          <w:rFonts w:ascii="Arial" w:hAnsi="Arial" w:cs="Arial"/>
          <w:sz w:val="22"/>
          <w:szCs w:val="22"/>
        </w:rPr>
        <w:t>Soweit der Zuwendungsempfänger die Möglichkeit zum Vorsteuerabzug nach § 15 des Umsatzsteuergesetzes hat, dürfen nur die Entgelte (Preise ohne Umsatzsteuer) berücksichtigt werden.</w:t>
      </w:r>
    </w:p>
    <w:p w14:paraId="1CF6CD2E" w14:textId="77777777" w:rsidR="005E5EF7" w:rsidRDefault="005E5EF7" w:rsidP="005E5EF7">
      <w:pPr>
        <w:pStyle w:val="Listenabsatz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</w:p>
    <w:p w14:paraId="6D2D2672" w14:textId="77777777" w:rsidR="00BE1FA0" w:rsidRPr="00993E2D" w:rsidRDefault="00BE1FA0" w:rsidP="00BE1FA0">
      <w:pPr>
        <w:rPr>
          <w:rFonts w:ascii="Arial" w:hAnsi="Arial" w:cs="Arial"/>
          <w:u w:val="single"/>
        </w:rPr>
      </w:pPr>
      <w:r w:rsidRPr="00993E2D">
        <w:rPr>
          <w:rFonts w:ascii="Arial" w:hAnsi="Arial" w:cs="Arial"/>
          <w:b/>
          <w:u w:val="single"/>
        </w:rPr>
        <w:t>Beispiele</w:t>
      </w:r>
      <w:r w:rsidRPr="00993E2D">
        <w:rPr>
          <w:rFonts w:ascii="Arial" w:hAnsi="Arial" w:cs="Arial"/>
          <w:u w:val="single"/>
        </w:rPr>
        <w:t xml:space="preserve"> zum Ausfüllen der Beleglisten</w:t>
      </w:r>
      <w:r w:rsidRPr="00993E2D">
        <w:rPr>
          <w:rFonts w:ascii="Arial" w:hAnsi="Arial" w:cs="Arial"/>
        </w:rPr>
        <w:t>:</w:t>
      </w:r>
    </w:p>
    <w:p w14:paraId="7828C98A" w14:textId="77777777" w:rsidR="00BE1FA0" w:rsidRPr="00993E2D" w:rsidRDefault="006744F1" w:rsidP="006744F1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</w:pPr>
      <w:r w:rsidRPr="00993E2D">
        <w:rPr>
          <w:rFonts w:ascii="Arial" w:hAnsi="Arial" w:cs="Arial"/>
        </w:rPr>
        <w:t>0817 (Beschäftigte E1-E11)</w:t>
      </w:r>
    </w:p>
    <w:p w14:paraId="4FC8A326" w14:textId="718C91AD" w:rsidR="00BE1FA0" w:rsidRDefault="003430FC" w:rsidP="00BE1FA0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0905F52D" wp14:editId="449B6A82">
            <wp:extent cx="5972810" cy="1704340"/>
            <wp:effectExtent l="0" t="0" r="889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</w:t>
      </w:r>
      <w:r w:rsidR="0083333E">
        <w:rPr>
          <w:noProof/>
          <w:lang w:eastAsia="de-DE"/>
        </w:rPr>
        <w:t xml:space="preserve"> </w:t>
      </w:r>
    </w:p>
    <w:p w14:paraId="3AF0B653" w14:textId="77777777" w:rsidR="00A771E8" w:rsidRDefault="00A771E8" w:rsidP="00BE1FA0">
      <w:pPr>
        <w:rPr>
          <w:noProof/>
          <w:lang w:eastAsia="de-DE"/>
        </w:rPr>
      </w:pPr>
    </w:p>
    <w:p w14:paraId="3F8F526A" w14:textId="77777777" w:rsidR="00A771E8" w:rsidRDefault="00A771E8" w:rsidP="00BE1FA0">
      <w:pPr>
        <w:rPr>
          <w:noProof/>
          <w:lang w:eastAsia="de-DE"/>
        </w:rPr>
      </w:pPr>
    </w:p>
    <w:p w14:paraId="78597230" w14:textId="77777777" w:rsidR="00A771E8" w:rsidRDefault="00A771E8" w:rsidP="00BE1FA0">
      <w:pPr>
        <w:rPr>
          <w:noProof/>
          <w:lang w:eastAsia="de-DE"/>
        </w:rPr>
      </w:pPr>
    </w:p>
    <w:p w14:paraId="1A7E98CC" w14:textId="77777777" w:rsidR="00A771E8" w:rsidRPr="00BE1FA0" w:rsidRDefault="00A771E8" w:rsidP="00BE1FA0">
      <w:pPr>
        <w:rPr>
          <w:rFonts w:ascii="Arial" w:hAnsi="Arial" w:cs="Arial"/>
          <w:sz w:val="20"/>
          <w:szCs w:val="20"/>
        </w:rPr>
      </w:pPr>
    </w:p>
    <w:p w14:paraId="5F27D7EC" w14:textId="77777777" w:rsidR="004E0AAB" w:rsidRPr="00993E2D" w:rsidRDefault="006744F1" w:rsidP="006744F1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</w:pPr>
      <w:r w:rsidRPr="00993E2D">
        <w:rPr>
          <w:rFonts w:ascii="Arial" w:hAnsi="Arial" w:cs="Arial"/>
        </w:rPr>
        <w:lastRenderedPageBreak/>
        <w:t>0831 (Gegenstände bis 410 €)</w:t>
      </w:r>
    </w:p>
    <w:p w14:paraId="169360E3" w14:textId="728B2C20" w:rsidR="004D1641" w:rsidRDefault="003430FC" w:rsidP="004E0AAB">
      <w:pPr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6028CBCC" wp14:editId="792089C6">
            <wp:extent cx="5760720" cy="815173"/>
            <wp:effectExtent l="0" t="0" r="0" b="444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94639" w14:textId="77777777" w:rsidR="004D1641" w:rsidRPr="00993E2D" w:rsidRDefault="00981AB9" w:rsidP="00993E2D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993E2D">
        <w:rPr>
          <w:rFonts w:ascii="Arial" w:hAnsi="Arial" w:cs="Arial"/>
          <w:b/>
          <w:sz w:val="24"/>
          <w:szCs w:val="24"/>
        </w:rPr>
        <w:t>Belege</w:t>
      </w:r>
    </w:p>
    <w:p w14:paraId="7227E619" w14:textId="2770DBA2" w:rsidR="00981AB9" w:rsidRPr="00993E2D" w:rsidRDefault="00D532A9" w:rsidP="00993E2D">
      <w:pPr>
        <w:pStyle w:val="Listenabsatz"/>
        <w:numPr>
          <w:ilvl w:val="0"/>
          <w:numId w:val="1"/>
        </w:numPr>
        <w:spacing w:after="60"/>
        <w:ind w:left="426" w:hanging="426"/>
        <w:contextualSpacing w:val="0"/>
        <w:rPr>
          <w:rFonts w:ascii="Arial" w:hAnsi="Arial" w:cs="Arial"/>
          <w:b/>
          <w:color w:val="FF0000"/>
        </w:rPr>
      </w:pPr>
      <w:r w:rsidRPr="00993E2D">
        <w:rPr>
          <w:rFonts w:ascii="Arial" w:hAnsi="Arial" w:cs="Arial"/>
          <w:b/>
          <w:color w:val="FF0000"/>
        </w:rPr>
        <w:t>Zum Zwischennachweis sind ohne gesonderte Aufforderung bitte keine Belege oder Belegkopien einzureichen!</w:t>
      </w:r>
    </w:p>
    <w:p w14:paraId="7FB354C6" w14:textId="77777777" w:rsidR="00B929E4" w:rsidRPr="00993E2D" w:rsidRDefault="00B929E4" w:rsidP="00993E2D">
      <w:pPr>
        <w:pStyle w:val="Listenabsatz"/>
        <w:numPr>
          <w:ilvl w:val="0"/>
          <w:numId w:val="1"/>
        </w:numPr>
        <w:spacing w:after="60"/>
        <w:ind w:left="425" w:hanging="425"/>
        <w:contextualSpacing w:val="0"/>
        <w:rPr>
          <w:rFonts w:ascii="Arial" w:hAnsi="Arial" w:cs="Arial"/>
          <w:b/>
          <w:color w:val="FF0000"/>
        </w:rPr>
      </w:pPr>
      <w:r w:rsidRPr="00993E2D">
        <w:rPr>
          <w:rStyle w:val="fontstyle01"/>
          <w:sz w:val="22"/>
          <w:szCs w:val="22"/>
        </w:rPr>
        <w:t>Die Belege müssen die im Geschäftsverkehr üblichen Angaben und Anlagen enthalten, die</w:t>
      </w:r>
      <w:r w:rsidRPr="00993E2D">
        <w:rPr>
          <w:rFonts w:ascii="ArialMT" w:hAnsi="ArialMT"/>
          <w:color w:val="000000"/>
        </w:rPr>
        <w:br/>
      </w:r>
      <w:r w:rsidRPr="00993E2D">
        <w:rPr>
          <w:rStyle w:val="fontstyle01"/>
          <w:sz w:val="22"/>
          <w:szCs w:val="22"/>
        </w:rPr>
        <w:t>Ausgabebelege insbesondere den Zahlungsempfänger, Grund und Tag der Zahlung, den Zahlungsbeweis und bei Gegenständen den Verwendungszweck.</w:t>
      </w:r>
    </w:p>
    <w:p w14:paraId="1DC82E56" w14:textId="191F0F6F" w:rsidR="00981AB9" w:rsidRPr="00993E2D" w:rsidRDefault="00343832" w:rsidP="00993E2D">
      <w:pPr>
        <w:pStyle w:val="Listenabsatz"/>
        <w:numPr>
          <w:ilvl w:val="0"/>
          <w:numId w:val="1"/>
        </w:numPr>
        <w:spacing w:after="60"/>
        <w:ind w:left="425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 xml:space="preserve">Alle Belege müssen durch den Zuwendungsempfänger aufbewahrt werden. </w:t>
      </w:r>
      <w:r w:rsidR="009C3A4F" w:rsidRPr="00993E2D">
        <w:rPr>
          <w:rFonts w:ascii="Arial" w:hAnsi="Arial" w:cs="Arial"/>
        </w:rPr>
        <w:t xml:space="preserve">Die Aufbewahrungsfrist beläuft sich auf 5 Jahre nach Einreichung des Verwendungsnachweises, sofern nicht steuerrechtlich oder nach anderen Vorschriften längere Aufbewahrungsfristen gelten. </w:t>
      </w:r>
      <w:r w:rsidR="00981AB9" w:rsidRPr="00993E2D">
        <w:rPr>
          <w:rFonts w:ascii="Arial" w:hAnsi="Arial" w:cs="Arial"/>
        </w:rPr>
        <w:t xml:space="preserve">Sofern sich Unklarheiten aus der Belegliste ergeben oder anderweitige Gründe vorliegen, erfolgt </w:t>
      </w:r>
      <w:r w:rsidRPr="00993E2D">
        <w:rPr>
          <w:rFonts w:ascii="Arial" w:hAnsi="Arial" w:cs="Arial"/>
        </w:rPr>
        <w:t>ggf. eine</w:t>
      </w:r>
      <w:r w:rsidR="00981AB9" w:rsidRPr="00993E2D">
        <w:rPr>
          <w:rFonts w:ascii="Arial" w:hAnsi="Arial" w:cs="Arial"/>
        </w:rPr>
        <w:t xml:space="preserve"> </w:t>
      </w:r>
      <w:r w:rsidRPr="00993E2D">
        <w:rPr>
          <w:rFonts w:ascii="Arial" w:hAnsi="Arial" w:cs="Arial"/>
        </w:rPr>
        <w:t xml:space="preserve">gesonderte </w:t>
      </w:r>
      <w:r w:rsidR="00981AB9" w:rsidRPr="00993E2D">
        <w:rPr>
          <w:rFonts w:ascii="Arial" w:hAnsi="Arial" w:cs="Arial"/>
        </w:rPr>
        <w:t xml:space="preserve">Aufforderung durch die </w:t>
      </w:r>
      <w:r w:rsidR="00334BF4">
        <w:rPr>
          <w:rFonts w:ascii="Arial" w:hAnsi="Arial" w:cs="Arial"/>
        </w:rPr>
        <w:t>ZUG</w:t>
      </w:r>
      <w:bookmarkStart w:id="0" w:name="_GoBack"/>
      <w:bookmarkEnd w:id="0"/>
      <w:r w:rsidR="00981AB9" w:rsidRPr="00993E2D">
        <w:rPr>
          <w:rFonts w:ascii="Arial" w:hAnsi="Arial" w:cs="Arial"/>
        </w:rPr>
        <w:t>-Bearbeiter/innen</w:t>
      </w:r>
      <w:r w:rsidRPr="00993E2D">
        <w:rPr>
          <w:rFonts w:ascii="Arial" w:hAnsi="Arial" w:cs="Arial"/>
        </w:rPr>
        <w:t xml:space="preserve"> zur Einreichung von Belegen</w:t>
      </w:r>
      <w:r w:rsidR="00981AB9" w:rsidRPr="00993E2D">
        <w:rPr>
          <w:rFonts w:ascii="Arial" w:hAnsi="Arial" w:cs="Arial"/>
        </w:rPr>
        <w:t>.</w:t>
      </w:r>
    </w:p>
    <w:p w14:paraId="23A65D34" w14:textId="0F838ECF" w:rsidR="00A44643" w:rsidRPr="00993E2D" w:rsidRDefault="00A44643" w:rsidP="00993E2D">
      <w:pPr>
        <w:pStyle w:val="Listenabsatz"/>
        <w:numPr>
          <w:ilvl w:val="0"/>
          <w:numId w:val="1"/>
        </w:numPr>
        <w:spacing w:after="60"/>
        <w:ind w:left="425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 xml:space="preserve">Alle Rechnungen müssen </w:t>
      </w:r>
      <w:r w:rsidR="003332D3" w:rsidRPr="00993E2D">
        <w:rPr>
          <w:rFonts w:ascii="Arial" w:hAnsi="Arial" w:cs="Arial"/>
        </w:rPr>
        <w:t>stets</w:t>
      </w:r>
      <w:r w:rsidRPr="00993E2D">
        <w:rPr>
          <w:rFonts w:ascii="Arial" w:hAnsi="Arial" w:cs="Arial"/>
        </w:rPr>
        <w:t xml:space="preserve"> den Zuwendungsempfänger (Verein XY o. ä.) als </w:t>
      </w:r>
      <w:r w:rsidR="003332D3" w:rsidRPr="00993E2D">
        <w:rPr>
          <w:rFonts w:ascii="Arial" w:hAnsi="Arial" w:cs="Arial"/>
        </w:rPr>
        <w:t>Rechnungs</w:t>
      </w:r>
      <w:r w:rsidRPr="00993E2D">
        <w:rPr>
          <w:rFonts w:ascii="Arial" w:hAnsi="Arial" w:cs="Arial"/>
        </w:rPr>
        <w:t>empfänger ausweisen. Anderenfalls können diese Ausgaben nicht anerkannt werden.</w:t>
      </w:r>
      <w:r w:rsidR="009C3A4F" w:rsidRPr="00993E2D">
        <w:rPr>
          <w:rFonts w:ascii="Arial" w:hAnsi="Arial" w:cs="Arial"/>
        </w:rPr>
        <w:t xml:space="preserve"> Bitte achten Sie darauf, dass die Belege </w:t>
      </w:r>
      <w:r w:rsidR="00EB1E63" w:rsidRPr="00993E2D">
        <w:rPr>
          <w:rFonts w:ascii="Arial" w:hAnsi="Arial" w:cs="Arial"/>
        </w:rPr>
        <w:t>ein eindeutiges Zuordnungsmerkmal (bspw. die Projektnummer) ausweisen müssen.</w:t>
      </w:r>
      <w:r w:rsidR="009C3A4F" w:rsidRPr="00993E2D">
        <w:rPr>
          <w:rFonts w:ascii="Arial" w:hAnsi="Arial" w:cs="Arial"/>
        </w:rPr>
        <w:t xml:space="preserve"> </w:t>
      </w:r>
    </w:p>
    <w:p w14:paraId="40526410" w14:textId="77777777" w:rsidR="00BE1588" w:rsidRPr="00993E2D" w:rsidRDefault="00BE1588" w:rsidP="00993E2D">
      <w:pPr>
        <w:pStyle w:val="Listenabsatz"/>
        <w:numPr>
          <w:ilvl w:val="0"/>
          <w:numId w:val="1"/>
        </w:numPr>
        <w:spacing w:after="60"/>
        <w:ind w:left="425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Belegnachweis bei Gebrauchtkauf: Wichtig ist, dass es einen Beleg</w:t>
      </w:r>
      <w:r w:rsidR="00343832" w:rsidRPr="00993E2D">
        <w:rPr>
          <w:rFonts w:ascii="Arial" w:hAnsi="Arial" w:cs="Arial"/>
        </w:rPr>
        <w:t xml:space="preserve"> über den Kauf</w:t>
      </w:r>
      <w:r w:rsidRPr="00993E2D">
        <w:rPr>
          <w:rFonts w:ascii="Arial" w:hAnsi="Arial" w:cs="Arial"/>
        </w:rPr>
        <w:t xml:space="preserve"> </w:t>
      </w:r>
      <w:r w:rsidR="00343832" w:rsidRPr="00993E2D">
        <w:rPr>
          <w:rFonts w:ascii="Arial" w:hAnsi="Arial" w:cs="Arial"/>
        </w:rPr>
        <w:t>gibt.</w:t>
      </w:r>
      <w:r w:rsidRPr="00993E2D">
        <w:rPr>
          <w:rFonts w:ascii="Arial" w:hAnsi="Arial" w:cs="Arial"/>
        </w:rPr>
        <w:t xml:space="preserve"> </w:t>
      </w:r>
      <w:r w:rsidR="00343832" w:rsidRPr="00993E2D">
        <w:rPr>
          <w:rFonts w:ascii="Arial" w:hAnsi="Arial" w:cs="Arial"/>
        </w:rPr>
        <w:t xml:space="preserve">Der </w:t>
      </w:r>
      <w:r w:rsidRPr="00993E2D">
        <w:rPr>
          <w:rFonts w:ascii="Arial" w:hAnsi="Arial" w:cs="Arial"/>
        </w:rPr>
        <w:t xml:space="preserve">Verkäufer </w:t>
      </w:r>
      <w:r w:rsidR="00343832" w:rsidRPr="00993E2D">
        <w:rPr>
          <w:rFonts w:ascii="Arial" w:hAnsi="Arial" w:cs="Arial"/>
        </w:rPr>
        <w:t xml:space="preserve">des gebrauchten Gegenstands </w:t>
      </w:r>
      <w:r w:rsidR="003332D3" w:rsidRPr="00993E2D">
        <w:rPr>
          <w:rFonts w:ascii="Arial" w:hAnsi="Arial" w:cs="Arial"/>
        </w:rPr>
        <w:t xml:space="preserve">muss </w:t>
      </w:r>
      <w:r w:rsidR="00343832" w:rsidRPr="00993E2D">
        <w:rPr>
          <w:rFonts w:ascii="Arial" w:hAnsi="Arial" w:cs="Arial"/>
        </w:rPr>
        <w:t xml:space="preserve">dem Käufer (Zuwendungsempfänger) </w:t>
      </w:r>
      <w:r w:rsidR="003332D3" w:rsidRPr="00993E2D">
        <w:rPr>
          <w:rFonts w:ascii="Arial" w:hAnsi="Arial" w:cs="Arial"/>
        </w:rPr>
        <w:t xml:space="preserve">entweder </w:t>
      </w:r>
      <w:r w:rsidRPr="00993E2D">
        <w:rPr>
          <w:rFonts w:ascii="Arial" w:hAnsi="Arial" w:cs="Arial"/>
        </w:rPr>
        <w:t xml:space="preserve">eine Rechnung (bspw. </w:t>
      </w:r>
      <w:r w:rsidR="00A44643" w:rsidRPr="00993E2D">
        <w:rPr>
          <w:rFonts w:ascii="Arial" w:hAnsi="Arial" w:cs="Arial"/>
        </w:rPr>
        <w:t>b</w:t>
      </w:r>
      <w:r w:rsidRPr="00993E2D">
        <w:rPr>
          <w:rFonts w:ascii="Arial" w:hAnsi="Arial" w:cs="Arial"/>
        </w:rPr>
        <w:t>ei qualifizierten Verkäufern von Gebrauchtware) oder einen Quittungsbeleg aus</w:t>
      </w:r>
      <w:r w:rsidR="003332D3" w:rsidRPr="00993E2D">
        <w:rPr>
          <w:rFonts w:ascii="Arial" w:hAnsi="Arial" w:cs="Arial"/>
        </w:rPr>
        <w:t>stellen</w:t>
      </w:r>
      <w:r w:rsidRPr="00993E2D">
        <w:rPr>
          <w:rFonts w:ascii="Arial" w:hAnsi="Arial" w:cs="Arial"/>
        </w:rPr>
        <w:t xml:space="preserve">. </w:t>
      </w:r>
    </w:p>
    <w:p w14:paraId="33D5A14A" w14:textId="77777777" w:rsidR="005E25B5" w:rsidRPr="00993E2D" w:rsidRDefault="005E25B5" w:rsidP="00993E2D">
      <w:pPr>
        <w:pStyle w:val="Listenabsatz"/>
        <w:numPr>
          <w:ilvl w:val="0"/>
          <w:numId w:val="1"/>
        </w:numPr>
        <w:spacing w:after="60"/>
        <w:ind w:left="425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Der Quittungsbeleg:</w:t>
      </w:r>
    </w:p>
    <w:p w14:paraId="259967CE" w14:textId="77777777" w:rsidR="005E25B5" w:rsidRPr="00993E2D" w:rsidRDefault="003332D3" w:rsidP="00993E2D">
      <w:pPr>
        <w:pStyle w:val="Listenabsatz"/>
        <w:numPr>
          <w:ilvl w:val="1"/>
          <w:numId w:val="1"/>
        </w:numPr>
        <w:spacing w:after="60"/>
        <w:ind w:left="851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 xml:space="preserve">Ist ein </w:t>
      </w:r>
      <w:r w:rsidR="005E25B5" w:rsidRPr="00993E2D">
        <w:rPr>
          <w:rFonts w:ascii="Arial" w:hAnsi="Arial" w:cs="Arial"/>
        </w:rPr>
        <w:t>Beweis</w:t>
      </w:r>
      <w:r w:rsidR="001029C9" w:rsidRPr="00993E2D">
        <w:rPr>
          <w:rFonts w:ascii="Arial" w:hAnsi="Arial" w:cs="Arial"/>
        </w:rPr>
        <w:t>/Nachweis</w:t>
      </w:r>
      <w:r w:rsidR="005E25B5" w:rsidRPr="00993E2D">
        <w:rPr>
          <w:rFonts w:ascii="Arial" w:hAnsi="Arial" w:cs="Arial"/>
        </w:rPr>
        <w:t xml:space="preserve"> für die Barzahlung einer</w:t>
      </w:r>
      <w:r w:rsidR="009634BE" w:rsidRPr="00993E2D">
        <w:rPr>
          <w:rFonts w:ascii="Arial" w:hAnsi="Arial" w:cs="Arial"/>
        </w:rPr>
        <w:t xml:space="preserve"> Ware oder einer Dienstleistung</w:t>
      </w:r>
      <w:r w:rsidR="005E25B5" w:rsidRPr="00993E2D">
        <w:rPr>
          <w:rFonts w:ascii="Arial" w:hAnsi="Arial" w:cs="Arial"/>
        </w:rPr>
        <w:t xml:space="preserve"> </w:t>
      </w:r>
    </w:p>
    <w:p w14:paraId="09300E19" w14:textId="77777777" w:rsidR="005E25B5" w:rsidRPr="00993E2D" w:rsidRDefault="00510682" w:rsidP="00993E2D">
      <w:pPr>
        <w:pStyle w:val="Listenabsatz"/>
        <w:numPr>
          <w:ilvl w:val="1"/>
          <w:numId w:val="1"/>
        </w:numPr>
        <w:spacing w:after="60"/>
        <w:ind w:left="851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 xml:space="preserve">Es handelt sich um eine Privaturkunde </w:t>
      </w:r>
      <w:r w:rsidR="009634BE" w:rsidRPr="00993E2D">
        <w:rPr>
          <w:rFonts w:ascii="Arial" w:hAnsi="Arial" w:cs="Arial"/>
        </w:rPr>
        <w:t>nach § 416 ZPO</w:t>
      </w:r>
    </w:p>
    <w:p w14:paraId="13999AC5" w14:textId="77777777" w:rsidR="005E25B5" w:rsidRPr="00993E2D" w:rsidRDefault="005E25B5" w:rsidP="00993E2D">
      <w:pPr>
        <w:pStyle w:val="Listenabsatz"/>
        <w:numPr>
          <w:ilvl w:val="1"/>
          <w:numId w:val="1"/>
        </w:numPr>
        <w:spacing w:after="60"/>
        <w:ind w:left="851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Die Quittung muss</w:t>
      </w:r>
      <w:r w:rsidR="009634BE" w:rsidRPr="00993E2D">
        <w:rPr>
          <w:rFonts w:ascii="Arial" w:hAnsi="Arial" w:cs="Arial"/>
        </w:rPr>
        <w:t xml:space="preserve"> schriftlich ausgestellt werden</w:t>
      </w:r>
      <w:r w:rsidRPr="00993E2D">
        <w:rPr>
          <w:rFonts w:ascii="Arial" w:hAnsi="Arial" w:cs="Arial"/>
        </w:rPr>
        <w:t xml:space="preserve"> </w:t>
      </w:r>
    </w:p>
    <w:p w14:paraId="06D32833" w14:textId="37303BDF" w:rsidR="005E25B5" w:rsidRPr="00993E2D" w:rsidRDefault="005E25B5" w:rsidP="00993E2D">
      <w:pPr>
        <w:pStyle w:val="Listenabsatz"/>
        <w:numPr>
          <w:ilvl w:val="1"/>
          <w:numId w:val="1"/>
        </w:numPr>
        <w:spacing w:after="60"/>
        <w:ind w:left="851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D</w:t>
      </w:r>
      <w:r w:rsidR="001029C9" w:rsidRPr="00993E2D">
        <w:rPr>
          <w:rFonts w:ascii="Arial" w:hAnsi="Arial" w:cs="Arial"/>
        </w:rPr>
        <w:t>er Inhalt</w:t>
      </w:r>
      <w:r w:rsidRPr="00993E2D">
        <w:rPr>
          <w:rFonts w:ascii="Arial" w:hAnsi="Arial" w:cs="Arial"/>
        </w:rPr>
        <w:t xml:space="preserve"> auf der Qui</w:t>
      </w:r>
      <w:r w:rsidR="009634BE" w:rsidRPr="00993E2D">
        <w:rPr>
          <w:rFonts w:ascii="Arial" w:hAnsi="Arial" w:cs="Arial"/>
        </w:rPr>
        <w:t>ttung darf nicht änderbar sein</w:t>
      </w:r>
      <w:r w:rsidR="006809DD" w:rsidRPr="00993E2D">
        <w:rPr>
          <w:rFonts w:ascii="Arial" w:hAnsi="Arial" w:cs="Arial"/>
        </w:rPr>
        <w:t>, e</w:t>
      </w:r>
      <w:r w:rsidRPr="00993E2D">
        <w:rPr>
          <w:rFonts w:ascii="Arial" w:hAnsi="Arial" w:cs="Arial"/>
        </w:rPr>
        <w:t xml:space="preserve">in Bleistift oder anderes leicht löschbare Schreibgerät ist kein Mittel, eine Quittung auszufüllen </w:t>
      </w:r>
    </w:p>
    <w:p w14:paraId="6DB9DB94" w14:textId="3CBED134" w:rsidR="005E25B5" w:rsidRPr="00993E2D" w:rsidRDefault="005E25B5" w:rsidP="00993E2D">
      <w:pPr>
        <w:pStyle w:val="Listenabsatz"/>
        <w:numPr>
          <w:ilvl w:val="1"/>
          <w:numId w:val="1"/>
        </w:numPr>
        <w:spacing w:after="60"/>
        <w:ind w:left="851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Muss eine Quittung</w:t>
      </w:r>
      <w:r w:rsidR="00EB1E63" w:rsidRPr="00993E2D">
        <w:rPr>
          <w:rFonts w:ascii="Arial" w:hAnsi="Arial" w:cs="Arial"/>
        </w:rPr>
        <w:t xml:space="preserve"> aufgrund fehlerhafter Ausstellung</w:t>
      </w:r>
      <w:r w:rsidRPr="00993E2D">
        <w:rPr>
          <w:rFonts w:ascii="Arial" w:hAnsi="Arial" w:cs="Arial"/>
        </w:rPr>
        <w:t xml:space="preserve"> geändert werden, so sollt</w:t>
      </w:r>
      <w:r w:rsidR="00510682" w:rsidRPr="00993E2D">
        <w:rPr>
          <w:rFonts w:ascii="Arial" w:hAnsi="Arial" w:cs="Arial"/>
        </w:rPr>
        <w:t xml:space="preserve">e </w:t>
      </w:r>
      <w:r w:rsidR="00EB1E63" w:rsidRPr="00993E2D">
        <w:rPr>
          <w:rFonts w:ascii="Arial" w:hAnsi="Arial" w:cs="Arial"/>
        </w:rPr>
        <w:t>eine neue Quittung ausgestellt werden.</w:t>
      </w:r>
    </w:p>
    <w:p w14:paraId="0E29BFAB" w14:textId="77777777" w:rsidR="005E25B5" w:rsidRPr="00993E2D" w:rsidRDefault="005E25B5" w:rsidP="00993E2D">
      <w:pPr>
        <w:pStyle w:val="Listenabsatz"/>
        <w:numPr>
          <w:ilvl w:val="1"/>
          <w:numId w:val="1"/>
        </w:numPr>
        <w:spacing w:after="60"/>
        <w:ind w:left="851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Anforderungen an den Inhalt</w:t>
      </w:r>
      <w:r w:rsidR="00510682" w:rsidRPr="00993E2D">
        <w:rPr>
          <w:rFonts w:ascii="Arial" w:hAnsi="Arial" w:cs="Arial"/>
        </w:rPr>
        <w:t xml:space="preserve"> einer Quittung</w:t>
      </w:r>
      <w:r w:rsidRPr="00993E2D">
        <w:rPr>
          <w:rFonts w:ascii="Arial" w:hAnsi="Arial" w:cs="Arial"/>
        </w:rPr>
        <w:t>:</w:t>
      </w:r>
    </w:p>
    <w:p w14:paraId="72AAC32F" w14:textId="77777777" w:rsidR="005E25B5" w:rsidRPr="00993E2D" w:rsidRDefault="009634BE" w:rsidP="00993E2D">
      <w:pPr>
        <w:pStyle w:val="Listenabsatz"/>
        <w:numPr>
          <w:ilvl w:val="2"/>
          <w:numId w:val="1"/>
        </w:numPr>
        <w:spacing w:after="60"/>
        <w:ind w:left="1418" w:hanging="284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Betrag in Ziffern und Worten</w:t>
      </w:r>
      <w:r w:rsidR="005E25B5" w:rsidRPr="00993E2D">
        <w:rPr>
          <w:rFonts w:ascii="Arial" w:hAnsi="Arial" w:cs="Arial"/>
        </w:rPr>
        <w:t xml:space="preserve"> </w:t>
      </w:r>
    </w:p>
    <w:p w14:paraId="1C0EC788" w14:textId="77777777" w:rsidR="005E25B5" w:rsidRPr="00993E2D" w:rsidRDefault="005E25B5" w:rsidP="00993E2D">
      <w:pPr>
        <w:pStyle w:val="Listenabsatz"/>
        <w:numPr>
          <w:ilvl w:val="2"/>
          <w:numId w:val="1"/>
        </w:numPr>
        <w:spacing w:after="60"/>
        <w:ind w:left="1418" w:hanging="284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 xml:space="preserve">Name des Zahlers </w:t>
      </w:r>
    </w:p>
    <w:p w14:paraId="7E095DC8" w14:textId="77777777" w:rsidR="005E25B5" w:rsidRPr="00993E2D" w:rsidRDefault="005E25B5" w:rsidP="00993E2D">
      <w:pPr>
        <w:pStyle w:val="Listenabsatz"/>
        <w:numPr>
          <w:ilvl w:val="2"/>
          <w:numId w:val="1"/>
        </w:numPr>
        <w:spacing w:after="60"/>
        <w:ind w:left="1418" w:hanging="284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 xml:space="preserve">Grund der Zahlung </w:t>
      </w:r>
    </w:p>
    <w:p w14:paraId="485FB665" w14:textId="77777777" w:rsidR="005E25B5" w:rsidRPr="00993E2D" w:rsidRDefault="005E25B5" w:rsidP="00993E2D">
      <w:pPr>
        <w:pStyle w:val="Listenabsatz"/>
        <w:numPr>
          <w:ilvl w:val="2"/>
          <w:numId w:val="1"/>
        </w:numPr>
        <w:spacing w:after="60"/>
        <w:ind w:left="1418" w:hanging="284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Empfangsbestätigung</w:t>
      </w:r>
      <w:r w:rsidR="003332D3" w:rsidRPr="00993E2D">
        <w:rPr>
          <w:rFonts w:ascii="Arial" w:hAnsi="Arial" w:cs="Arial"/>
        </w:rPr>
        <w:t>,</w:t>
      </w:r>
      <w:r w:rsidRPr="00993E2D">
        <w:rPr>
          <w:rFonts w:ascii="Arial" w:hAnsi="Arial" w:cs="Arial"/>
        </w:rPr>
        <w:t xml:space="preserve"> </w:t>
      </w:r>
      <w:r w:rsidR="003332D3" w:rsidRPr="00993E2D">
        <w:rPr>
          <w:rFonts w:ascii="Arial" w:hAnsi="Arial" w:cs="Arial"/>
        </w:rPr>
        <w:t xml:space="preserve">mit </w:t>
      </w:r>
      <w:r w:rsidRPr="00993E2D">
        <w:rPr>
          <w:rFonts w:ascii="Arial" w:hAnsi="Arial" w:cs="Arial"/>
        </w:rPr>
        <w:t>Ort und Datum</w:t>
      </w:r>
      <w:r w:rsidR="003332D3" w:rsidRPr="00993E2D">
        <w:rPr>
          <w:rFonts w:ascii="Arial" w:hAnsi="Arial" w:cs="Arial"/>
        </w:rPr>
        <w:t xml:space="preserve"> des Empfangs der Quittung und</w:t>
      </w:r>
      <w:r w:rsidRPr="00993E2D">
        <w:rPr>
          <w:rFonts w:ascii="Arial" w:hAnsi="Arial" w:cs="Arial"/>
        </w:rPr>
        <w:t xml:space="preserve"> Unterschrift des Empfängers</w:t>
      </w:r>
    </w:p>
    <w:p w14:paraId="1046972C" w14:textId="290893C2" w:rsidR="005E5EF7" w:rsidRPr="00993E2D" w:rsidRDefault="006809DD" w:rsidP="00A771E8">
      <w:pPr>
        <w:pStyle w:val="Listenabsatz"/>
        <w:numPr>
          <w:ilvl w:val="2"/>
          <w:numId w:val="1"/>
        </w:numPr>
        <w:spacing w:after="60"/>
        <w:ind w:left="1418" w:hanging="284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Ggf.</w:t>
      </w:r>
      <w:r w:rsidR="002A6877" w:rsidRPr="00993E2D">
        <w:rPr>
          <w:rFonts w:ascii="Arial" w:hAnsi="Arial" w:cs="Arial"/>
        </w:rPr>
        <w:t xml:space="preserve"> Namen des Verkäufers, da dieser in die Belegliste </w:t>
      </w:r>
      <w:r w:rsidR="003332D3" w:rsidRPr="00993E2D">
        <w:rPr>
          <w:rFonts w:ascii="Arial" w:hAnsi="Arial" w:cs="Arial"/>
        </w:rPr>
        <w:t>angegeben werden muss</w:t>
      </w:r>
    </w:p>
    <w:p w14:paraId="6237A514" w14:textId="77777777" w:rsidR="002A6877" w:rsidRPr="00993E2D" w:rsidRDefault="002A6877" w:rsidP="00993E2D">
      <w:pPr>
        <w:pStyle w:val="Listenabsatz"/>
        <w:numPr>
          <w:ilvl w:val="0"/>
          <w:numId w:val="1"/>
        </w:numPr>
        <w:spacing w:after="60"/>
        <w:ind w:left="425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lastRenderedPageBreak/>
        <w:t>Alternative zur Quittung</w:t>
      </w:r>
      <w:r w:rsidR="00510682" w:rsidRPr="00993E2D">
        <w:rPr>
          <w:rFonts w:ascii="Arial" w:hAnsi="Arial" w:cs="Arial"/>
        </w:rPr>
        <w:t xml:space="preserve"> bei Gebrauchtkauf</w:t>
      </w:r>
      <w:r w:rsidRPr="00993E2D">
        <w:rPr>
          <w:rFonts w:ascii="Arial" w:hAnsi="Arial" w:cs="Arial"/>
        </w:rPr>
        <w:t>: Die Privatrechnung:</w:t>
      </w:r>
    </w:p>
    <w:p w14:paraId="0BC4C9A9" w14:textId="77777777" w:rsidR="002A6877" w:rsidRPr="00993E2D" w:rsidRDefault="002A6877" w:rsidP="00993E2D">
      <w:pPr>
        <w:pStyle w:val="Listenabsatz"/>
        <w:numPr>
          <w:ilvl w:val="1"/>
          <w:numId w:val="1"/>
        </w:numPr>
        <w:spacing w:after="60"/>
        <w:ind w:left="850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 xml:space="preserve">Um </w:t>
      </w:r>
      <w:r w:rsidR="00510682" w:rsidRPr="00993E2D">
        <w:rPr>
          <w:rFonts w:ascii="Arial" w:hAnsi="Arial" w:cs="Arial"/>
        </w:rPr>
        <w:t>die</w:t>
      </w:r>
      <w:r w:rsidRPr="00993E2D">
        <w:rPr>
          <w:rFonts w:ascii="Arial" w:hAnsi="Arial" w:cs="Arial"/>
        </w:rPr>
        <w:t xml:space="preserve"> </w:t>
      </w:r>
      <w:r w:rsidR="00510682" w:rsidRPr="00993E2D">
        <w:rPr>
          <w:rFonts w:ascii="Arial" w:hAnsi="Arial" w:cs="Arial"/>
        </w:rPr>
        <w:t>Privatrechnung</w:t>
      </w:r>
      <w:r w:rsidRPr="00993E2D">
        <w:rPr>
          <w:rFonts w:ascii="Arial" w:hAnsi="Arial" w:cs="Arial"/>
        </w:rPr>
        <w:t xml:space="preserve"> als Nachweis für den Verkauf und die Bezahlung verwenden zu können, müssen folgende Punkt enthalten sein:</w:t>
      </w:r>
    </w:p>
    <w:p w14:paraId="17790042" w14:textId="77777777" w:rsidR="002A6877" w:rsidRPr="00993E2D" w:rsidRDefault="002A6877" w:rsidP="00993E2D">
      <w:pPr>
        <w:pStyle w:val="Listenabsatz"/>
        <w:numPr>
          <w:ilvl w:val="2"/>
          <w:numId w:val="1"/>
        </w:numPr>
        <w:spacing w:after="60"/>
        <w:ind w:left="1418" w:hanging="284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Name und Adresse des Verkäufers</w:t>
      </w:r>
    </w:p>
    <w:p w14:paraId="180BAFBB" w14:textId="77777777" w:rsidR="002A6877" w:rsidRPr="00993E2D" w:rsidRDefault="002A6877" w:rsidP="00993E2D">
      <w:pPr>
        <w:pStyle w:val="Listenabsatz"/>
        <w:numPr>
          <w:ilvl w:val="2"/>
          <w:numId w:val="1"/>
        </w:numPr>
        <w:spacing w:after="60"/>
        <w:ind w:left="1418" w:hanging="284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Name und Adresse des Käufers</w:t>
      </w:r>
    </w:p>
    <w:p w14:paraId="136164EA" w14:textId="77777777" w:rsidR="002A6877" w:rsidRPr="00993E2D" w:rsidRDefault="002A6877" w:rsidP="00993E2D">
      <w:pPr>
        <w:pStyle w:val="Listenabsatz"/>
        <w:numPr>
          <w:ilvl w:val="2"/>
          <w:numId w:val="1"/>
        </w:numPr>
        <w:spacing w:after="60"/>
        <w:ind w:left="1418" w:hanging="284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Datum des Verkaufs bzw. der Rechnung</w:t>
      </w:r>
    </w:p>
    <w:p w14:paraId="1A691F88" w14:textId="77777777" w:rsidR="002A6877" w:rsidRPr="00993E2D" w:rsidRDefault="002A6877" w:rsidP="00993E2D">
      <w:pPr>
        <w:pStyle w:val="Listenabsatz"/>
        <w:numPr>
          <w:ilvl w:val="2"/>
          <w:numId w:val="1"/>
        </w:numPr>
        <w:spacing w:after="60"/>
        <w:ind w:left="1418" w:hanging="284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Gegenstand des Verkaufs, eventuell nähere Beschreibung</w:t>
      </w:r>
    </w:p>
    <w:p w14:paraId="4DEB5290" w14:textId="77777777" w:rsidR="002A6877" w:rsidRPr="00993E2D" w:rsidRDefault="002A6877" w:rsidP="00993E2D">
      <w:pPr>
        <w:pStyle w:val="Listenabsatz"/>
        <w:numPr>
          <w:ilvl w:val="2"/>
          <w:numId w:val="1"/>
        </w:numPr>
        <w:spacing w:after="60"/>
        <w:ind w:left="1418" w:hanging="284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Verkaufspreis</w:t>
      </w:r>
    </w:p>
    <w:p w14:paraId="57CB33F4" w14:textId="77777777" w:rsidR="00473EB0" w:rsidRPr="00993E2D" w:rsidRDefault="002A6877" w:rsidP="00993E2D">
      <w:pPr>
        <w:pStyle w:val="Listenabsatz"/>
        <w:numPr>
          <w:ilvl w:val="2"/>
          <w:numId w:val="1"/>
        </w:numPr>
        <w:spacing w:after="60"/>
        <w:ind w:left="1418" w:hanging="284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eventuelle Zusätze wie „Ware erhalten am…“ und „Bezahlung erhalten am…“</w:t>
      </w:r>
    </w:p>
    <w:p w14:paraId="29950915" w14:textId="77777777" w:rsidR="002A6877" w:rsidRPr="00993E2D" w:rsidRDefault="002A6877" w:rsidP="00993E2D">
      <w:pPr>
        <w:pStyle w:val="Listenabsatz"/>
        <w:numPr>
          <w:ilvl w:val="2"/>
          <w:numId w:val="1"/>
        </w:numPr>
        <w:spacing w:after="60"/>
        <w:ind w:left="1418" w:hanging="284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Unterschrift beider Parteien</w:t>
      </w:r>
    </w:p>
    <w:p w14:paraId="558A449E" w14:textId="77777777" w:rsidR="00510682" w:rsidRPr="00993E2D" w:rsidRDefault="00473EB0" w:rsidP="00993E2D">
      <w:pPr>
        <w:pStyle w:val="Listenabsatz"/>
        <w:numPr>
          <w:ilvl w:val="0"/>
          <w:numId w:val="1"/>
        </w:numPr>
        <w:spacing w:after="60"/>
        <w:ind w:left="425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>Hinweis</w:t>
      </w:r>
      <w:r w:rsidR="00510682" w:rsidRPr="00993E2D">
        <w:rPr>
          <w:rFonts w:ascii="Arial" w:hAnsi="Arial" w:cs="Arial"/>
        </w:rPr>
        <w:t>e</w:t>
      </w:r>
      <w:r w:rsidRPr="00993E2D">
        <w:rPr>
          <w:rFonts w:ascii="Arial" w:hAnsi="Arial" w:cs="Arial"/>
        </w:rPr>
        <w:t xml:space="preserve"> zu Kassenbons: </w:t>
      </w:r>
    </w:p>
    <w:p w14:paraId="34774102" w14:textId="77777777" w:rsidR="00A730C0" w:rsidRPr="00993E2D" w:rsidRDefault="00A730C0" w:rsidP="00993E2D">
      <w:pPr>
        <w:pStyle w:val="Listenabsatz"/>
        <w:numPr>
          <w:ilvl w:val="1"/>
          <w:numId w:val="1"/>
        </w:numPr>
        <w:spacing w:after="60"/>
        <w:ind w:left="851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 xml:space="preserve">Kassenbons bis zu einem Gesamtbetrag von 250,00 € (inkl. </w:t>
      </w:r>
      <w:proofErr w:type="spellStart"/>
      <w:r w:rsidRPr="00993E2D">
        <w:rPr>
          <w:rFonts w:ascii="Arial" w:hAnsi="Arial" w:cs="Arial"/>
        </w:rPr>
        <w:t>USt</w:t>
      </w:r>
      <w:proofErr w:type="spellEnd"/>
      <w:r w:rsidRPr="00993E2D">
        <w:rPr>
          <w:rFonts w:ascii="Arial" w:hAnsi="Arial" w:cs="Arial"/>
        </w:rPr>
        <w:t xml:space="preserve">), welche die Anforderungen des </w:t>
      </w:r>
      <w:hyperlink r:id="rId10" w:history="1">
        <w:r w:rsidRPr="00993E2D">
          <w:rPr>
            <w:rStyle w:val="Hyperlink"/>
            <w:rFonts w:ascii="Arial" w:hAnsi="Arial" w:cs="Arial"/>
          </w:rPr>
          <w:t>§ 33 UStDV</w:t>
        </w:r>
      </w:hyperlink>
      <w:r w:rsidRPr="00993E2D">
        <w:rPr>
          <w:rFonts w:ascii="Arial" w:hAnsi="Arial" w:cs="Arial"/>
        </w:rPr>
        <w:t xml:space="preserve"> erfüllen, werden als Kleinbetragsrechnung anerkannt</w:t>
      </w:r>
    </w:p>
    <w:p w14:paraId="5E05BADF" w14:textId="2664AC3C" w:rsidR="00A730C0" w:rsidRPr="00993E2D" w:rsidRDefault="00A730C0" w:rsidP="00993E2D">
      <w:pPr>
        <w:pStyle w:val="Listenabsatz"/>
        <w:numPr>
          <w:ilvl w:val="1"/>
          <w:numId w:val="1"/>
        </w:numPr>
        <w:spacing w:after="60"/>
        <w:ind w:left="851" w:hanging="425"/>
        <w:contextualSpacing w:val="0"/>
        <w:rPr>
          <w:rFonts w:ascii="Arial" w:hAnsi="Arial" w:cs="Arial"/>
        </w:rPr>
      </w:pPr>
      <w:r w:rsidRPr="00993E2D">
        <w:rPr>
          <w:rFonts w:ascii="Arial" w:hAnsi="Arial" w:cs="Arial"/>
        </w:rPr>
        <w:t xml:space="preserve">Bei Beträgen über 250,00 € (inkl. </w:t>
      </w:r>
      <w:proofErr w:type="spellStart"/>
      <w:r w:rsidRPr="00993E2D">
        <w:rPr>
          <w:rFonts w:ascii="Arial" w:hAnsi="Arial" w:cs="Arial"/>
        </w:rPr>
        <w:t>USt</w:t>
      </w:r>
      <w:proofErr w:type="spellEnd"/>
      <w:r w:rsidRPr="00993E2D">
        <w:rPr>
          <w:rFonts w:ascii="Arial" w:hAnsi="Arial" w:cs="Arial"/>
        </w:rPr>
        <w:t xml:space="preserve">) sollte zusätzlich eine Quittung verlangt </w:t>
      </w:r>
      <w:proofErr w:type="gramStart"/>
      <w:r w:rsidRPr="00993E2D">
        <w:rPr>
          <w:rFonts w:ascii="Arial" w:hAnsi="Arial" w:cs="Arial"/>
        </w:rPr>
        <w:t>werden  (</w:t>
      </w:r>
      <w:proofErr w:type="gramEnd"/>
      <w:r w:rsidRPr="00993E2D">
        <w:rPr>
          <w:rFonts w:ascii="Arial" w:hAnsi="Arial" w:cs="Arial"/>
        </w:rPr>
        <w:t xml:space="preserve">Schriftformgebot gemäß § 368 Satz 1 i. V. m. § 126 Abs. 1 BGB) </w:t>
      </w:r>
    </w:p>
    <w:p w14:paraId="1CDEF25A" w14:textId="77777777" w:rsidR="00981AB9" w:rsidRPr="00993E2D" w:rsidRDefault="00473EB0" w:rsidP="00993E2D">
      <w:pPr>
        <w:pStyle w:val="Listenabsatz"/>
        <w:numPr>
          <w:ilvl w:val="1"/>
          <w:numId w:val="1"/>
        </w:numPr>
        <w:spacing w:after="60"/>
        <w:ind w:left="851" w:hanging="425"/>
        <w:contextualSpacing w:val="0"/>
        <w:rPr>
          <w:rFonts w:ascii="Arial" w:hAnsi="Arial" w:cs="Arial"/>
          <w:b/>
          <w:color w:val="00589C"/>
        </w:rPr>
      </w:pPr>
      <w:r w:rsidRPr="00993E2D">
        <w:rPr>
          <w:rFonts w:ascii="Arial" w:hAnsi="Arial" w:cs="Arial"/>
        </w:rPr>
        <w:t>Kassenbons sollten zeitnah kopiert werden, da die Thermobelege schnell verblassen können</w:t>
      </w:r>
      <w:r w:rsidR="00A730C0" w:rsidRPr="00993E2D">
        <w:rPr>
          <w:rFonts w:ascii="Arial" w:hAnsi="Arial" w:cs="Arial"/>
        </w:rPr>
        <w:t xml:space="preserve"> (Nachweispflicht muss gewährleistet sein)</w:t>
      </w:r>
    </w:p>
    <w:sectPr w:rsidR="00981AB9" w:rsidRPr="00993E2D" w:rsidSect="006D06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D9622" w14:textId="77777777" w:rsidR="00E03273" w:rsidRDefault="00E03273" w:rsidP="00F30402">
      <w:pPr>
        <w:spacing w:after="0" w:line="240" w:lineRule="auto"/>
      </w:pPr>
      <w:r>
        <w:separator/>
      </w:r>
    </w:p>
  </w:endnote>
  <w:endnote w:type="continuationSeparator" w:id="0">
    <w:p w14:paraId="61A21386" w14:textId="77777777" w:rsidR="00E03273" w:rsidRDefault="00E03273" w:rsidP="00F3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DE61" w14:textId="77777777" w:rsidR="00993E2D" w:rsidRDefault="00993E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2BF73" w14:textId="647837F5" w:rsidR="006D0639" w:rsidRPr="006D0639" w:rsidRDefault="006D0639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27A1" w14:textId="77777777" w:rsidR="00993E2D" w:rsidRDefault="00993E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F3CEB" w14:textId="77777777" w:rsidR="00E03273" w:rsidRDefault="00E03273" w:rsidP="00F30402">
      <w:pPr>
        <w:spacing w:after="0" w:line="240" w:lineRule="auto"/>
      </w:pPr>
      <w:r>
        <w:separator/>
      </w:r>
    </w:p>
  </w:footnote>
  <w:footnote w:type="continuationSeparator" w:id="0">
    <w:p w14:paraId="518C4A07" w14:textId="77777777" w:rsidR="00E03273" w:rsidRDefault="00E03273" w:rsidP="00F3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38BE5" w14:textId="77777777" w:rsidR="00993E2D" w:rsidRDefault="00993E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810E" w14:textId="692B75FA" w:rsidR="00993E2D" w:rsidRPr="00993E2D" w:rsidRDefault="00993E2D" w:rsidP="00993E2D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/>
        <w:bCs/>
      </w:rPr>
    </w:pPr>
    <w:r w:rsidRPr="00993E2D">
      <w:rPr>
        <w:rFonts w:ascii="Arial" w:eastAsia="Calibri" w:hAnsi="Arial" w:cs="Arial"/>
        <w:b/>
        <w:bCs/>
      </w:rPr>
      <w:t>Hilfestellung für den Zwischennachweis</w:t>
    </w:r>
    <w:r>
      <w:rPr>
        <w:rFonts w:ascii="Arial" w:eastAsia="Calibri" w:hAnsi="Arial" w:cs="Arial"/>
        <w:b/>
        <w:bCs/>
      </w:rPr>
      <w:t xml:space="preserve"> - </w:t>
    </w:r>
    <w:r w:rsidRPr="00993E2D">
      <w:rPr>
        <w:rFonts w:ascii="Arial" w:eastAsia="Calibri" w:hAnsi="Arial" w:cs="Arial"/>
        <w:b/>
        <w:bCs/>
      </w:rPr>
      <w:t>„Klimaschutz im Alltag“</w:t>
    </w:r>
  </w:p>
  <w:p w14:paraId="6F736F7A" w14:textId="0E721AC9" w:rsidR="00993E2D" w:rsidRDefault="00993E2D" w:rsidP="00993E2D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/>
        <w:bCs/>
      </w:rPr>
    </w:pPr>
  </w:p>
  <w:p w14:paraId="24BAC154" w14:textId="77777777" w:rsidR="00993E2D" w:rsidRPr="00993E2D" w:rsidRDefault="00993E2D" w:rsidP="00993E2D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</w:rPr>
    </w:pPr>
  </w:p>
  <w:p w14:paraId="267CBBE4" w14:textId="3568E089" w:rsidR="00F30402" w:rsidRDefault="00A771E8" w:rsidP="00F30402">
    <w:pPr>
      <w:pStyle w:val="Kopfzeile"/>
    </w:pPr>
    <w:r>
      <w:rPr>
        <w:rFonts w:ascii="Arial" w:hAnsi="Arial" w:cs="Arial"/>
        <w:noProof/>
        <w:sz w:val="20"/>
        <w:szCs w:val="20"/>
        <w:lang w:eastAsia="de-DE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2873" w14:textId="77777777" w:rsidR="00993E2D" w:rsidRDefault="00993E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58AD"/>
    <w:multiLevelType w:val="hybridMultilevel"/>
    <w:tmpl w:val="34063C7C"/>
    <w:lvl w:ilvl="0" w:tplc="CD5CCEB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2"/>
      </w:rPr>
    </w:lvl>
    <w:lvl w:ilvl="1" w:tplc="DC22A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D2A6B"/>
    <w:multiLevelType w:val="hybridMultilevel"/>
    <w:tmpl w:val="E8745C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AB"/>
    <w:rsid w:val="001029C9"/>
    <w:rsid w:val="00150DD6"/>
    <w:rsid w:val="001F4220"/>
    <w:rsid w:val="0021411C"/>
    <w:rsid w:val="002A6877"/>
    <w:rsid w:val="003216FF"/>
    <w:rsid w:val="003332D3"/>
    <w:rsid w:val="00334BF4"/>
    <w:rsid w:val="003430FC"/>
    <w:rsid w:val="00343832"/>
    <w:rsid w:val="00473EB0"/>
    <w:rsid w:val="004D1641"/>
    <w:rsid w:val="004E0AAB"/>
    <w:rsid w:val="00510682"/>
    <w:rsid w:val="005E25B5"/>
    <w:rsid w:val="005E5EF7"/>
    <w:rsid w:val="005E7C26"/>
    <w:rsid w:val="00635965"/>
    <w:rsid w:val="006744F1"/>
    <w:rsid w:val="006809DD"/>
    <w:rsid w:val="006D0639"/>
    <w:rsid w:val="007620D1"/>
    <w:rsid w:val="00765C01"/>
    <w:rsid w:val="0083333E"/>
    <w:rsid w:val="0084058F"/>
    <w:rsid w:val="008662E3"/>
    <w:rsid w:val="0093432F"/>
    <w:rsid w:val="009634BE"/>
    <w:rsid w:val="00981AB9"/>
    <w:rsid w:val="0098599E"/>
    <w:rsid w:val="00993E2D"/>
    <w:rsid w:val="009C3A4F"/>
    <w:rsid w:val="00A35077"/>
    <w:rsid w:val="00A44643"/>
    <w:rsid w:val="00A730C0"/>
    <w:rsid w:val="00A771E8"/>
    <w:rsid w:val="00AB3A90"/>
    <w:rsid w:val="00AB4DFE"/>
    <w:rsid w:val="00B929E4"/>
    <w:rsid w:val="00BE1588"/>
    <w:rsid w:val="00BE1FA0"/>
    <w:rsid w:val="00C71E51"/>
    <w:rsid w:val="00CA0EF3"/>
    <w:rsid w:val="00CD5C80"/>
    <w:rsid w:val="00CE02B6"/>
    <w:rsid w:val="00D532A9"/>
    <w:rsid w:val="00E03273"/>
    <w:rsid w:val="00E32F38"/>
    <w:rsid w:val="00E65F63"/>
    <w:rsid w:val="00EB1E63"/>
    <w:rsid w:val="00F05A77"/>
    <w:rsid w:val="00F30402"/>
    <w:rsid w:val="00F41080"/>
    <w:rsid w:val="00F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7F588"/>
  <w15:docId w15:val="{782272B4-33E3-4849-B833-B53F4EB7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0A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FA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730C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0402"/>
  </w:style>
  <w:style w:type="paragraph" w:styleId="Fuzeile">
    <w:name w:val="footer"/>
    <w:basedOn w:val="Standard"/>
    <w:link w:val="FuzeileZchn"/>
    <w:uiPriority w:val="99"/>
    <w:unhideWhenUsed/>
    <w:rsid w:val="00F3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0402"/>
  </w:style>
  <w:style w:type="character" w:styleId="Kommentarzeichen">
    <w:name w:val="annotation reference"/>
    <w:basedOn w:val="Absatz-Standardschriftart"/>
    <w:uiPriority w:val="99"/>
    <w:semiHidden/>
    <w:unhideWhenUsed/>
    <w:rsid w:val="008405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405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405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05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058F"/>
    <w:rPr>
      <w:b/>
      <w:bCs/>
      <w:sz w:val="20"/>
      <w:szCs w:val="20"/>
    </w:rPr>
  </w:style>
  <w:style w:type="character" w:customStyle="1" w:styleId="fontstyle01">
    <w:name w:val="fontstyle01"/>
    <w:basedOn w:val="Absatz-Standardschriftart"/>
    <w:rsid w:val="00FC640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berarbeitung">
    <w:name w:val="Revision"/>
    <w:hidden/>
    <w:uiPriority w:val="99"/>
    <w:semiHidden/>
    <w:rsid w:val="00CE0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esetze-im-internet.de/ustdv_1980/__3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500C-4A81-44AA-97FC-652E0C0C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ZUG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Hilfestellung für den Zwischennachweis Klimaschutz im Alltag_V2</dc:title>
  <dc:subject>Klimaschutz im Alltag</dc:subject>
  <dc:creator>Nationale Klimaschutzinitiative</dc:creator>
  <cp:keywords>NKI; Klimaschutz</cp:keywords>
  <cp:revision>2</cp:revision>
  <cp:lastPrinted>2018-03-22T09:02:00Z</cp:lastPrinted>
  <dcterms:created xsi:type="dcterms:W3CDTF">2022-02-10T07:28:00Z</dcterms:created>
  <dcterms:modified xsi:type="dcterms:W3CDTF">2022-02-10T07:28:00Z</dcterms:modified>
  <cp:version>2202_V1</cp:version>
</cp:coreProperties>
</file>