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41F7D" w14:textId="245E90F9" w:rsidR="00244774" w:rsidRDefault="00A0490E" w:rsidP="00095DDE">
      <w:pPr>
        <w:pStyle w:val="berschrift1"/>
      </w:pPr>
      <w:r>
        <w:t>Musterformulierungen für Klimaschutzaspekte in Gestaltungssatzungen</w:t>
      </w:r>
    </w:p>
    <w:p w14:paraId="1D7FA31A" w14:textId="0675DCAB" w:rsidR="00244774" w:rsidRPr="00E94C2E" w:rsidRDefault="00A0490E">
      <w:pPr>
        <w:rPr>
          <w:rFonts w:cs="Arial"/>
        </w:rPr>
      </w:pPr>
      <w:r>
        <w:rPr>
          <w:rFonts w:cs="Arial"/>
        </w:rPr>
        <w:t>__________________________________________________________________________</w:t>
      </w:r>
    </w:p>
    <w:p w14:paraId="44A0E14E" w14:textId="0319EA50" w:rsidR="00244774" w:rsidRDefault="00A0490E">
      <w:r>
        <w:t>Gestaltungssatzungen, mit denen Kommunen Vorgaben für bauliche Vorhaben machen, können ein wichtiges Instrument sein, Klimaschutz konkret, rechtssicher und dauerhaft vor Ort zu verankern.</w:t>
      </w:r>
    </w:p>
    <w:p w14:paraId="6A237D2A" w14:textId="3C955979" w:rsidR="00244774" w:rsidRDefault="00A0490E">
      <w:r w:rsidRPr="00A0490E">
        <w:t>Nachfolgend finden Sie Auszüge</w:t>
      </w:r>
      <w:r>
        <w:t xml:space="preserve"> mit formal korrekten Formulierungen aus realen Gestaltungssatzungen, die für diese Veröffentlichung anonymisiert wurden. </w:t>
      </w:r>
    </w:p>
    <w:p w14:paraId="6E8595BD" w14:textId="77777777" w:rsidR="00244774" w:rsidRDefault="00A0490E">
      <w:pPr>
        <w:pBdr>
          <w:top w:val="single" w:sz="4" w:space="1" w:color="000000"/>
          <w:left w:val="single" w:sz="4" w:space="4" w:color="000000"/>
          <w:bottom w:val="single" w:sz="4" w:space="1" w:color="000000"/>
          <w:right w:val="single" w:sz="4" w:space="4" w:color="000000"/>
        </w:pBdr>
      </w:pPr>
      <w:r>
        <w:t>Bitte beachten Sie, dass eine fachliche und gegebenenfalls rechtliche Prüfung Ihrer Satzung immer notwendig ist.</w:t>
      </w:r>
    </w:p>
    <w:p w14:paraId="284EC45A" w14:textId="0552F134" w:rsidR="00244774" w:rsidRDefault="00A0490E" w:rsidP="00FB637C">
      <w:pPr>
        <w:pBdr>
          <w:top w:val="single" w:sz="4" w:space="1" w:color="000000"/>
          <w:left w:val="single" w:sz="4" w:space="4" w:color="000000"/>
          <w:bottom w:val="single" w:sz="4" w:space="1" w:color="000000"/>
          <w:right w:val="single" w:sz="4" w:space="4" w:color="000000"/>
        </w:pBdr>
      </w:pPr>
      <w:r>
        <w:t>Die vorgeschlagenen Formulierungen müssen an die individuellen Gegebenheiten Ihrer Kommune angepasst werden. Die Musterformulierungen stellen keine Rechtsberatung dar.</w:t>
      </w:r>
    </w:p>
    <w:p w14:paraId="70CF7EC5" w14:textId="77777777" w:rsidR="00244774" w:rsidRDefault="00A0490E">
      <w:pPr>
        <w:pStyle w:val="berschrift2"/>
      </w:pPr>
      <w:r>
        <w:t>Gestaltungssatzung für ein Sanierungsgebiet im Ortskern</w:t>
      </w:r>
    </w:p>
    <w:p w14:paraId="633F2FBE" w14:textId="77777777" w:rsidR="00244774" w:rsidRDefault="00A0490E">
      <w:pPr>
        <w:pStyle w:val="berschrift3"/>
      </w:pPr>
      <w:r>
        <w:t>Ziel</w:t>
      </w:r>
    </w:p>
    <w:p w14:paraId="0A1786AF" w14:textId="47394D6B" w:rsidR="00244774" w:rsidRDefault="00A0490E">
      <w:r>
        <w:t>„Ziel dieser Satzung ist es, das städtebauliche und baukulturelle Erbe des Ortskerns […] zu schützen und zu pflegen sowie neue städtebauliche und bauliche Qualitäten zu fördern und zu entwickeln. Gleichzeitig soll aber auch neue Architektur möglich sein, deren Formensprache sich jedoch in das gewachsene Gefüge des Ortes einfügen muss.“</w:t>
      </w:r>
    </w:p>
    <w:p w14:paraId="4396A850" w14:textId="77777777" w:rsidR="00244774" w:rsidRPr="00095DDE" w:rsidRDefault="00A0490E" w:rsidP="00095DDE">
      <w:pPr>
        <w:pStyle w:val="berschrift3"/>
      </w:pPr>
      <w:r w:rsidRPr="00C30747">
        <w:rPr>
          <w:rStyle w:val="berschrift3Zchn"/>
        </w:rPr>
        <w:t>Gestalterische Vorgaben</w:t>
      </w:r>
      <w:r w:rsidRPr="00095DDE">
        <w:t xml:space="preserve"> zur Förderung oder Regelung von Klimaschutzmaßnahmen</w:t>
      </w:r>
    </w:p>
    <w:p w14:paraId="05C3DC82" w14:textId="77777777" w:rsidR="00244774" w:rsidRDefault="00A0490E" w:rsidP="00C30747">
      <w:pPr>
        <w:pStyle w:val="berschrift4"/>
      </w:pPr>
      <w:r>
        <w:t>Solar- und Photovoltaikanlagen</w:t>
      </w:r>
    </w:p>
    <w:p w14:paraId="45EF19BA" w14:textId="77777777" w:rsidR="00244774" w:rsidRDefault="00A0490E">
      <w:r>
        <w:t>„Solar- und Photovoltaikanlagen sind vorrangig nicht einsehbar der jeweiligen Situation harmonisch anzupassen. In besonderen Ausnahmen können auch Anlagen zugelassen werden, die vom Straßenraum aus sichtbar sind. An solche Anlagen sind besonders hohe Anforderungen an Gestaltung und Material zu stellen.</w:t>
      </w:r>
    </w:p>
    <w:p w14:paraId="00BADEBF" w14:textId="77777777" w:rsidR="00244774" w:rsidRDefault="00A0490E">
      <w:r>
        <w:t>Die Montage von Sonnenkollektoren, Photovoltaikanlagen und Röhrenkollektoren ist zulässig, wenn sie das Gesamterscheinungsbild des Daches und der Umgebung nicht beeinträchtigen. Die Module sind in einem geschlossenen, zusammenhängenden und rechteckigen Feld anzuordnen. Abtreppungen und gezackte Ränder zum Beispiel um Kamine, Dachflächenfenster und entlang von Dachgraten sind nicht zulässig. Sie müssen eine matte, tiefdunkel monochrome Oberfläche haben und ohne sichtbare metallisch-glänzende Einfassung sein. Die Module und Rahmen sind in einheitlichem Farbton auszuführen und soweit möglich der Dacheindeckung farblich anzugleichen. Es sollte darauf geachtet werden, dass die Anlage so weit wie möglich bündig und parallel zur Dachfläche integriert wird. Differenzblöcke zur Richtungsänderung von Modulen beziehungsweise Aufständerungen sind nicht mit dem Gesamterscheinungsbild eines historischen Ortskerns vereinbar.</w:t>
      </w:r>
    </w:p>
    <w:p w14:paraId="1C0007A0" w14:textId="77777777" w:rsidR="00244774" w:rsidRDefault="00A0490E">
      <w:r>
        <w:t>Auch sollten die Elemente jeweils allseitig von Dachflächen umschlossen sein. Als allgemeiner Gestaltungsgrundsatz kann angenommen werden: mindestens ca. 0,50 Meter Abstand von Traufe, First und Ortgang. Bei der Verwendung von Solar-Dachziegeln gelten dieselben Vorgaben. Allerdings können bei Verwendung von roten Solar-Dachziegeln, die in Farbe und Größe der Maßstäblichkeit einer Tonziegeldeckung entsprechen, die Anlagen über die ganze Dachbreite ausgebildet werden. Alle Anlagen sind in entsprechenden Plänen und Detailzeichnungen darzustellen.“</w:t>
      </w:r>
    </w:p>
    <w:p w14:paraId="48314E7B" w14:textId="7C5BEE40" w:rsidR="00244774" w:rsidRDefault="00A0490E">
      <w:r>
        <w:lastRenderedPageBreak/>
        <w:t>„Sogenannte Stecker-Solar-Geräte, auch Balkonkraftwerke genannt, sind vorrangig nicht einsehbar der jeweiligen Situation harmonisch anzupassen. In besonderen Ausnahmen können auch Anlagen zugelassen werden, die vom Straßenraum aus sichtbar sind. An solche Anlagen sind besonders hohe Anforderungen an Gestaltung und Material zu stellen und sie dürfen keine Blendwirkung in den öffentlichen Raum erzeugen. Die Photovoltaik-Module sollten möglichst passgenau das Balkongeländer bzw. die Balkonbrüstung in Breite und Höhe verdecken. Je Objekt sind einheitliche Photovoltaik-Module zu verwenden (möglichst vom gleichen Anbieter / Hersteller). Am jeweiligen Objekt sollten alle Balkone auf der jeweiligen Gebäudeseite mit Photovoltaik-Modulen ausgestattet werden und der Neigungswinkel entspricht dem des Balkongeländers / -brüstung (in der Regel 90 Grad). Zulassungen an historischen Gebäuden sollen grundsätzlich zurückhaltend platziert werden. An Fassaden sind Solarelemente nur parallel zur Fassade in quadratischen oder rechteckigen Formaten zulässig.“</w:t>
      </w:r>
    </w:p>
    <w:p w14:paraId="269CA35B" w14:textId="77777777" w:rsidR="00244774" w:rsidRDefault="00A0490E">
      <w:pPr>
        <w:pStyle w:val="berschrift4"/>
      </w:pPr>
      <w:r>
        <w:t>Wärmepumpen</w:t>
      </w:r>
    </w:p>
    <w:p w14:paraId="6233B3F9" w14:textId="77777777" w:rsidR="00244774" w:rsidRDefault="00A0490E">
      <w:r>
        <w:t xml:space="preserve">„Bei der Aufstellung von Wärmepumpen, Entlüftungsanlagen und Klimageräten et </w:t>
      </w:r>
      <w:proofErr w:type="spellStart"/>
      <w:r>
        <w:t>cetera</w:t>
      </w:r>
      <w:proofErr w:type="spellEnd"/>
      <w:r>
        <w:t xml:space="preserve"> ist auf nachbarliche Belange Rücksicht zu nehmen. Diese Anlagen der technischen Gebäudeausrüstung sollten mindestens 3,00 Meter von der Grundstücksgrenze entfernt platziert werden. Die in der Technischen Anleitung zum Schutz gegen Lärm definierten Schallgrenzen sind zu beachten. In Vorgärten haben sich Wärmepumpen und Klimageräte in die Gartengestaltung einzufügen.“</w:t>
      </w:r>
    </w:p>
    <w:p w14:paraId="748C3018" w14:textId="77777777" w:rsidR="00244774" w:rsidRDefault="00A0490E">
      <w:pPr>
        <w:pStyle w:val="berschrift4"/>
      </w:pPr>
      <w:r>
        <w:t>Energetische Sanierung</w:t>
      </w:r>
    </w:p>
    <w:p w14:paraId="411E045A" w14:textId="77777777" w:rsidR="00244774" w:rsidRDefault="00A0490E">
      <w:r>
        <w:t>„Bei energetischen Sanierungen sind die historische Bausubstanz und das gestalterische Erscheinungsbild zu berücksichtigen. Sie sind in jedem Einzelfall auf das jeweilige Gebäude hin zu konzipieren. Oberster Grundsatz ist eine hohe energetische Relevanz bei gleichzeitig historischer Verträglichkeit sowie Schutz der Gestaltung prägender Elemente. Zugelassen sind energetische Ertüchtigungen im Bestand, die das Erscheinungsbild und die historische Substanz nicht beeinträchtigen. Die Anforderungen sind umso höher, je historisch wertvoller das Gebäude ist. Eine Abstimmung mit [… Ihre Kommune…] ist notwendig.</w:t>
      </w:r>
    </w:p>
    <w:p w14:paraId="3799BF72" w14:textId="77777777" w:rsidR="00244774" w:rsidRDefault="00A0490E">
      <w:r>
        <w:t>Im Allgemeinen sind Innenwanddämmungen aus Schilf, Holzfaserplatten oder mineralisch gebundene Dämmplatten zu bevorzugen. Bei Außendämmungen sind nur mineralische Wärmedämmputze mit einem gescheibten Kalkdeckputz zulässig.</w:t>
      </w:r>
    </w:p>
    <w:p w14:paraId="20524E95" w14:textId="77777777" w:rsidR="00244774" w:rsidRDefault="00A0490E">
      <w:r>
        <w:t xml:space="preserve">Für Bauwerke, die nach 1945 errichtet wurden, können grundsätzlich Wärmedämmverbundsysteme (WDVS) verwendet werden. Bei Gebäuden vor 1945 muss bereits im Vorfeld eine Abstimmung mit [… Ihre Kommune…] erfolgen. Die mögliche Dämmstärke des WDVS ist immer im Einzelfall mit [… Ihre Kommune…] abzusprechen. Die Oberfläche des WDVS ist als fein gescheibter </w:t>
      </w:r>
      <w:proofErr w:type="spellStart"/>
      <w:r>
        <w:t>Oberputz</w:t>
      </w:r>
      <w:proofErr w:type="spellEnd"/>
      <w:r>
        <w:t xml:space="preserve"> mit einem mineralischen Anstrich oder mit eingefärbtem mineralischem </w:t>
      </w:r>
      <w:proofErr w:type="spellStart"/>
      <w:r>
        <w:t>Oberputz</w:t>
      </w:r>
      <w:proofErr w:type="spellEnd"/>
      <w:r>
        <w:t>, jeweils bis 1,0 Millimeter Korngröße, herzustellen. Der Flächenversatz zwischen WDVS und Sockel ist bis zu 15 Zentimeter zulässig. Die Wärmedämmung kann auch unter einer Holzkonstruktion erfolgen.“</w:t>
      </w:r>
    </w:p>
    <w:p w14:paraId="109D7FA0" w14:textId="77777777" w:rsidR="00244774" w:rsidRDefault="00A0490E">
      <w:pPr>
        <w:pStyle w:val="berschrift4"/>
      </w:pPr>
      <w:r>
        <w:t>Beleuchtung von Werbeanlagen</w:t>
      </w:r>
    </w:p>
    <w:p w14:paraId="0535DA45" w14:textId="77777777" w:rsidR="00244774" w:rsidRDefault="00A0490E">
      <w:r>
        <w:t>„Zulässig ist das Anstrahlen von Werbeanlagen durch filigrane Auslegerleuchten in dunkler Farbgebung oder das Hinterleuchten mittels insektenfreundlichen LED-Modulen. Das Anstrahlen und Hinterleuchten von Werbeanlagen ist nur im warmweißen Farbspektrum zulässig. Die Beleuchtung sollte ab 22 Uhr gedimmt werden.“</w:t>
      </w:r>
    </w:p>
    <w:p w14:paraId="7E0344EE" w14:textId="77777777" w:rsidR="00244774" w:rsidRDefault="00244774"/>
    <w:p w14:paraId="5E7863AF" w14:textId="77777777" w:rsidR="00244774" w:rsidRDefault="00A0490E">
      <w:pPr>
        <w:pStyle w:val="berschrift2"/>
      </w:pPr>
      <w:r>
        <w:lastRenderedPageBreak/>
        <w:t>Grün- und Gestaltungssatzung für ein gesamtes Stadtgebiet</w:t>
      </w:r>
    </w:p>
    <w:p w14:paraId="4B9508EA" w14:textId="77777777" w:rsidR="00244774" w:rsidRDefault="00A0490E">
      <w:pPr>
        <w:pStyle w:val="berschrift3"/>
      </w:pPr>
      <w:r>
        <w:t>Ziel</w:t>
      </w:r>
    </w:p>
    <w:p w14:paraId="2F83D8C4" w14:textId="77777777" w:rsidR="00244774" w:rsidRDefault="00A0490E">
      <w:r>
        <w:t>„Ziel der Satzung ist die angemessene Durchgrünung sowie eine qualitätsvolle Gestaltung der privaten und öffentlichen Grundstücke und der baulichen Anlagen innerhalb der im Zusammenhang bebauten Ortsteile im Stadtgebiet […]“</w:t>
      </w:r>
    </w:p>
    <w:p w14:paraId="061B3291" w14:textId="77777777" w:rsidR="006F6DA4" w:rsidRDefault="00A0490E" w:rsidP="006F6DA4">
      <w:pPr>
        <w:pStyle w:val="berschrift3"/>
      </w:pPr>
      <w:r w:rsidRPr="00C30747">
        <w:rPr>
          <w:rStyle w:val="berschrift3Zchn"/>
          <w:bCs/>
        </w:rPr>
        <w:t>Gestalterische Vorgaben</w:t>
      </w:r>
      <w:r>
        <w:t xml:space="preserve"> zur Förderung oder Regelung von Klimaschutzmaßnahmen</w:t>
      </w:r>
    </w:p>
    <w:p w14:paraId="0BA0FB9E" w14:textId="03B306DE" w:rsidR="00244774" w:rsidRDefault="00A0490E" w:rsidP="006F6DA4">
      <w:pPr>
        <w:pStyle w:val="berschrift4"/>
      </w:pPr>
      <w:r>
        <w:t>Solar- und Photovoltaikanlagen</w:t>
      </w:r>
    </w:p>
    <w:p w14:paraId="200B3703" w14:textId="7811E8C1" w:rsidR="00244774" w:rsidRDefault="00A0490E">
      <w:r>
        <w:t>„Ab einer Dachfläche von mehr als 100 m² müssen Flachdächer dauerhaft begrünt werden. Die begrünte Fläche muss mindestens 60 Prozent der gesamten Flachdachfläche betragen. Flachdächer von Garagen sind vollflächig und dauerhaft zu begrünen. Eine Pflicht zur Dachbegrünung besteht nicht für die Anteile an der Dachfläche, die durch Solaranlagen genutzt werden.“</w:t>
      </w:r>
    </w:p>
    <w:p w14:paraId="694A2981" w14:textId="77777777" w:rsidR="00244774" w:rsidRDefault="00A0490E" w:rsidP="006F6DA4">
      <w:pPr>
        <w:pStyle w:val="berschrift2"/>
      </w:pPr>
      <w:r w:rsidRPr="006F6DA4">
        <w:t>Gestaltungssatzung</w:t>
      </w:r>
      <w:r>
        <w:t xml:space="preserve"> für einen historischen Stadtkern</w:t>
      </w:r>
    </w:p>
    <w:p w14:paraId="5D273BA3" w14:textId="77777777" w:rsidR="00244774" w:rsidRDefault="00A0490E" w:rsidP="006F6DA4">
      <w:pPr>
        <w:pStyle w:val="berschrift3"/>
      </w:pPr>
      <w:r w:rsidRPr="006F6DA4">
        <w:t>Ziel</w:t>
      </w:r>
    </w:p>
    <w:p w14:paraId="4527CD22" w14:textId="77777777" w:rsidR="00244774" w:rsidRDefault="00A0490E" w:rsidP="00E94C2E">
      <w:r>
        <w:t>„Ziel der Gestaltungssatzung ist es, das unverwechselbare Gepräge des Stadtzentrums mit einer Vielzahl erhaltenswerter Gebäude, Gebäudegruppen und sonstiger baulicher Anlagen zu schützen und wieder herzustellen. Die Satzung dient als Richtlinie für die Beratung zur baulichen Gestaltung im historischen Stadtkern.“</w:t>
      </w:r>
    </w:p>
    <w:p w14:paraId="22F560ED" w14:textId="105F7196" w:rsidR="00244774" w:rsidRDefault="00A0490E" w:rsidP="00C30747">
      <w:pPr>
        <w:pStyle w:val="berschrift3"/>
      </w:pPr>
      <w:r>
        <w:t>Ziel bei Fortschreibung einer bestehenden Gestaltungssatzung, um bisher nicht ausreichend von den Regelungsinhalten erfasste Themen</w:t>
      </w:r>
      <w:r w:rsidR="00B81009">
        <w:t xml:space="preserve"> zu inkludieren</w:t>
      </w:r>
    </w:p>
    <w:p w14:paraId="3A943A31" w14:textId="77777777" w:rsidR="00244774" w:rsidRDefault="00A0490E" w:rsidP="00E94C2E">
      <w:r>
        <w:t>„Hierbei wurde insbesondere auf den Umgang mit baulichen Anlagen zur Nutzung Erneuerbarer Energien wie beispielsweise Solaranlagen und Wärmepumpen geblickt.“</w:t>
      </w:r>
    </w:p>
    <w:p w14:paraId="63893853" w14:textId="77777777" w:rsidR="00244774" w:rsidRDefault="00A0490E">
      <w:pPr>
        <w:pStyle w:val="berschrift3"/>
      </w:pPr>
      <w:r w:rsidRPr="00C30747">
        <w:rPr>
          <w:rStyle w:val="berschrift3Zchn"/>
        </w:rPr>
        <w:t>Gestalterische Vorgaben</w:t>
      </w:r>
      <w:r>
        <w:t xml:space="preserve"> zur Förderung oder Regelung von Klimaschutzmaßnahmen</w:t>
      </w:r>
    </w:p>
    <w:p w14:paraId="2242AFC8" w14:textId="77777777" w:rsidR="00244774" w:rsidRDefault="00A0490E" w:rsidP="00E94C2E">
      <w:pPr>
        <w:pStyle w:val="berschrift4"/>
      </w:pPr>
      <w:r w:rsidRPr="00E94C2E">
        <w:t>Energetische</w:t>
      </w:r>
      <w:r>
        <w:t xml:space="preserve"> Sanierung</w:t>
      </w:r>
    </w:p>
    <w:p w14:paraId="735E4726" w14:textId="77777777" w:rsidR="00244774" w:rsidRDefault="00A0490E">
      <w:r>
        <w:t>„Bei der nachträglichen Wärmedämmung sind grundsätzlich Wärmedämmputze und innenliegende Wärmedämmung gegenüber Wärmedämmverbundsystemen vorzuziehen. Außenliegende Wärmedämmung kann ausnahmsweise zugelassen werden, wenn dadurch das historische Erscheinungsbild des Gebäudes und des Straßenbildes nicht beeinträchtigt wird. Der historische Charakter des Gebäudes gilt als nicht beeinträchtigt, wenn die historischen Gestaltungselemente wie Wandvorlagen, Wandpfeiler, Fenster- und Türgewände, Ortgänge und Dachtraufen neu aufgebracht werden und in ihrem Erscheinungsbild, das heißt in Material und Proportion, dem historischen Vorbild des Gebäudes entsprechen. Mindestgehwegbreiten sind zu beachten.“</w:t>
      </w:r>
    </w:p>
    <w:p w14:paraId="02DC5F31" w14:textId="77777777" w:rsidR="00244774" w:rsidRDefault="00A0490E">
      <w:pPr>
        <w:pStyle w:val="berschrift4"/>
      </w:pPr>
      <w:r>
        <w:t>Wärmepumpen</w:t>
      </w:r>
    </w:p>
    <w:p w14:paraId="5B3C7AF2" w14:textId="77777777" w:rsidR="00244774" w:rsidRDefault="00A0490E">
      <w:r>
        <w:t>„Technische Geräte wie Wärmepumpen, Abgas- und Entlüftungsrohre sowie Lüftungs- und Klimageräte sind im vom öffentlichen Straßenraum einsehbaren Bereich unzulässig. Von dieser Maßgabe können Ausnahmen erteilt werden, sofern keine alternativen Standorte geeignet sind und die Anlagen in der Farbgestaltung der dahinterliegenden Fläche angeglichen werden und möglichst kontrastarm sind. Glänzende Metalle sind nicht zulässig.“</w:t>
      </w:r>
    </w:p>
    <w:p w14:paraId="3A456CD5" w14:textId="77777777" w:rsidR="00244774" w:rsidRDefault="00A0490E">
      <w:pPr>
        <w:pStyle w:val="berschrift4"/>
      </w:pPr>
      <w:r>
        <w:t>Zusätzliche Bauteile an der Fassade</w:t>
      </w:r>
    </w:p>
    <w:p w14:paraId="146D0CD6" w14:textId="77777777" w:rsidR="00244774" w:rsidRDefault="00A0490E">
      <w:r>
        <w:t>„Die Aufstellung und Anbringung von Außeneinheiten von Wärmepumpen sowie Lüftungs- und Klimageräten ist unzulässig.“</w:t>
      </w:r>
    </w:p>
    <w:p w14:paraId="40AA1FCB" w14:textId="77777777" w:rsidR="00E94C2E" w:rsidRDefault="00A0490E" w:rsidP="00E94C2E">
      <w:pPr>
        <w:pStyle w:val="berschrift4"/>
      </w:pPr>
      <w:r>
        <w:t>Photovoltaik- und Solarthermieanlagen (Solaranlagen)</w:t>
      </w:r>
    </w:p>
    <w:p w14:paraId="1EBAF6E6" w14:textId="3A8CA531" w:rsidR="00244774" w:rsidRDefault="00A0490E" w:rsidP="00E94C2E">
      <w:r>
        <w:t xml:space="preserve">„Photovoltaik- und Solarthermieanlagen (Solaranlagen) sind auf straßenabgewandten Dachseiten und auf rückwärtigen Nebengebäuden [… eventuell Hinweis auf bestehende Pläne </w:t>
      </w:r>
      <w:r>
        <w:lastRenderedPageBreak/>
        <w:t>einfügen …] zulässig. Auf straßenseitig ausgerichteten Dachflächen sind Solaranlagen zulässig, sofern diese sich der jeweilig eingedeckten Dachfläche unterordnen.</w:t>
      </w:r>
    </w:p>
    <w:p w14:paraId="059E9120" w14:textId="77777777" w:rsidR="00244774" w:rsidRDefault="00A0490E">
      <w:r>
        <w:t>Solaranlagen sind in zusammenhängenden rechteckigen Flächen anzubringen. Abtreppungen und gezackte Ränder sind unzulässig. Solaranlagen sind dachbündig einzubauen, der Abstand darf zwischen Dachziegel und Photovoltaikmodul maximal 30 Zentimeter betragen (gemessen von Dachhaut bis zur Oberkante der Anlage). Parallele Aufstellungen zum Dach über 30 Zentimeter und Schrägaufstellungen von Solaranlagen sind nicht zulässig. Auf straßenseitig ausgerichteten Balkonen, Erkern, Dachaufbauten (zum Beispiel auf Dachgauben) und Vorsprüngen sind Solarelemente unzulässig.</w:t>
      </w:r>
    </w:p>
    <w:p w14:paraId="031DFEA9" w14:textId="4380AD2F" w:rsidR="00244774" w:rsidRDefault="00A0490E">
      <w:r>
        <w:t>Kleinwindkraftanlagen sind straßenseitig unzulässig.“</w:t>
      </w:r>
    </w:p>
    <w:p w14:paraId="30BF4215" w14:textId="77777777" w:rsidR="00244774" w:rsidRDefault="00A0490E">
      <w:pPr>
        <w:rPr>
          <w:rFonts w:eastAsia="Arial" w:cs="Arial"/>
        </w:rPr>
      </w:pPr>
      <w:r>
        <w:rPr>
          <w:noProof/>
        </w:rPr>
        <mc:AlternateContent>
          <mc:Choice Requires="wps">
            <w:drawing>
              <wp:inline distT="0" distB="0" distL="0" distR="0" wp14:anchorId="3456EB4F" wp14:editId="29FD8644">
                <wp:extent cx="5844600" cy="4210050"/>
                <wp:effectExtent l="0" t="0" r="3810" b="0"/>
                <wp:docPr id="1" name="Textfeld 5"/>
                <wp:cNvGraphicFramePr/>
                <a:graphic xmlns:a="http://schemas.openxmlformats.org/drawingml/2006/main">
                  <a:graphicData uri="http://schemas.microsoft.com/office/word/2010/wordprocessingShape">
                    <wps:wsp>
                      <wps:cNvSpPr/>
                      <wps:spPr>
                        <a:xfrm>
                          <a:off x="0" y="0"/>
                          <a:ext cx="5844600" cy="4210050"/>
                        </a:xfrm>
                        <a:prstGeom prst="rect">
                          <a:avLst/>
                        </a:prstGeom>
                        <a:solidFill>
                          <a:schemeClr val="lt1"/>
                        </a:solidFill>
                        <a:ln w="6350">
                          <a:noFill/>
                        </a:ln>
                      </wps:spPr>
                      <wps:style>
                        <a:lnRef idx="0">
                          <a:scrgbClr r="0" g="0" b="0"/>
                        </a:lnRef>
                        <a:fillRef idx="0">
                          <a:scrgbClr r="0" g="0" b="0"/>
                        </a:fillRef>
                        <a:effectRef idx="0">
                          <a:scrgbClr r="0" g="0" b="0"/>
                        </a:effectRef>
                        <a:fontRef idx="minor"/>
                      </wps:style>
                      <wps:txbx>
                        <w:txbxContent>
                          <w:p w14:paraId="636A012C" w14:textId="77777777" w:rsidR="00244774" w:rsidRDefault="00244774">
                            <w:pPr>
                              <w:pStyle w:val="Rahmeninhaltuser"/>
                              <w:pBdr>
                                <w:bottom w:val="single" w:sz="4" w:space="1" w:color="000000"/>
                              </w:pBdr>
                              <w:rPr>
                                <w:b/>
                              </w:rPr>
                            </w:pPr>
                          </w:p>
                          <w:p w14:paraId="1F231FF9" w14:textId="6DA9FA84" w:rsidR="00C30747" w:rsidRDefault="00A0490E" w:rsidP="00C30747">
                            <w:pPr>
                              <w:pStyle w:val="berschrift2"/>
                            </w:pPr>
                            <w:r>
                              <w:t>Impressum</w:t>
                            </w:r>
                          </w:p>
                          <w:p w14:paraId="218E4583" w14:textId="77777777" w:rsidR="00C30747" w:rsidRDefault="00C30747" w:rsidP="00C30747">
                            <w:r w:rsidRPr="00DF505E">
                              <w:t>Herausgeber:</w:t>
                            </w:r>
                            <w:r w:rsidRPr="00696D9A">
                              <w:t xml:space="preserve"> Agentur für kommunalen Klimaschutz</w:t>
                            </w:r>
                            <w:r w:rsidRPr="00696D9A">
                              <w:br/>
                              <w:t>am Deutschen Institut für Urbanistik gGmbH (</w:t>
                            </w:r>
                            <w:proofErr w:type="spellStart"/>
                            <w:r w:rsidRPr="00696D9A">
                              <w:t>Difu</w:t>
                            </w:r>
                            <w:proofErr w:type="spellEnd"/>
                            <w:r w:rsidRPr="00696D9A">
                              <w:t>), Zimmerstr. 13-15, 10969 Berlin,</w:t>
                            </w:r>
                            <w:r w:rsidRPr="00696D9A">
                              <w:br/>
                            </w:r>
                            <w:r>
                              <w:t>im Auftrag des Bundesministeriums für Umwelt, Klimaschutz, Naturschutz und nukleare Sicherheit</w:t>
                            </w:r>
                            <w:r w:rsidRPr="00021827">
                              <w:t xml:space="preserve">. </w:t>
                            </w:r>
                          </w:p>
                          <w:p w14:paraId="6A0D72F3" w14:textId="77777777" w:rsidR="00C30747" w:rsidRPr="00696D9A" w:rsidRDefault="00C30747" w:rsidP="00C30747">
                            <w:r>
                              <w:t>Die Ausarbeitungen zu dieser Veröffentlichung sind in Zusammenarbeit mit dem Institut für Energie- und Umweltforschung (</w:t>
                            </w:r>
                            <w:proofErr w:type="spellStart"/>
                            <w:r>
                              <w:t>ifeu</w:t>
                            </w:r>
                            <w:proofErr w:type="spellEnd"/>
                            <w:r>
                              <w:t>) entstanden.</w:t>
                            </w:r>
                          </w:p>
                          <w:p w14:paraId="20FFD59B" w14:textId="77777777" w:rsidR="00C30747" w:rsidRPr="00696D9A" w:rsidRDefault="00C30747" w:rsidP="00C30747">
                            <w:r w:rsidRPr="00696D9A">
                              <w:t xml:space="preserve">Alle Rechte vorbehalten. </w:t>
                            </w:r>
                            <w:r>
                              <w:t>April 2026</w:t>
                            </w:r>
                            <w:r w:rsidRPr="00696D9A">
                              <w:t>.</w:t>
                            </w:r>
                          </w:p>
                          <w:p w14:paraId="11B2626B" w14:textId="77777777" w:rsidR="00C30747" w:rsidRPr="00696D9A" w:rsidRDefault="00C30747" w:rsidP="00C30747">
                            <w:r w:rsidRPr="00696D9A">
                              <w:t xml:space="preserve">Diese Veröffentlichung wird kostenlos zum Download angeboten und ist nicht für den Verkauf bestimmt. </w:t>
                            </w:r>
                          </w:p>
                          <w:p w14:paraId="06BF97FC" w14:textId="5813A94E" w:rsidR="00244774" w:rsidRPr="00FB637C" w:rsidRDefault="00C30747" w:rsidP="00FB637C">
                            <w:r>
                              <w:rPr>
                                <w:noProof/>
                              </w:rPr>
                              <w:drawing>
                                <wp:inline distT="0" distB="0" distL="0" distR="0" wp14:anchorId="70062D0B" wp14:editId="66986434">
                                  <wp:extent cx="5571490" cy="1270000"/>
                                  <wp:effectExtent l="0" t="0" r="0" b="6350"/>
                                  <wp:docPr id="4" name="Grafik 4"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1490" cy="1270000"/>
                                          </a:xfrm>
                                          <a:prstGeom prst="rect">
                                            <a:avLst/>
                                          </a:prstGeom>
                                          <a:noFill/>
                                          <a:ln>
                                            <a:noFill/>
                                          </a:ln>
                                        </pic:spPr>
                                      </pic:pic>
                                    </a:graphicData>
                                  </a:graphic>
                                </wp:inline>
                              </w:drawing>
                            </w:r>
                          </w:p>
                        </w:txbxContent>
                      </wps:txbx>
                      <wps:bodyPr anchor="t">
                        <a:prstTxWarp prst="textNoShape">
                          <a:avLst/>
                        </a:prstTxWarp>
                        <a:noAutofit/>
                      </wps:bodyPr>
                    </wps:wsp>
                  </a:graphicData>
                </a:graphic>
              </wp:inline>
            </w:drawing>
          </mc:Choice>
          <mc:Fallback>
            <w:pict>
              <v:rect w14:anchorId="3456EB4F" id="Textfeld 5" o:spid="_x0000_s1026" style="width:460.2pt;height:3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" fillcolor="white [3201]" stroked="f" strokeweight=".5pt">
                <v:textbox>
                  <w:txbxContent>
                    <w:p w14:paraId="636A012C" w14:textId="77777777" w:rsidR="00244774" w:rsidRDefault="00244774">
                      <w:pPr>
                        <w:pStyle w:val="Rahmeninhaltuser"/>
                        <w:pBdr>
                          <w:bottom w:val="single" w:sz="4" w:space="1" w:color="000000"/>
                        </w:pBdr>
                        <w:rPr>
                          <w:b/>
                        </w:rPr>
                      </w:pPr>
                    </w:p>
                    <w:p w14:paraId="1F231FF9" w14:textId="6DA9FA84" w:rsidR="00C30747" w:rsidRDefault="00A0490E" w:rsidP="00C30747">
                      <w:pPr>
                        <w:pStyle w:val="berschrift2"/>
                      </w:pPr>
                      <w:r>
                        <w:t>Impressum</w:t>
                      </w:r>
                    </w:p>
                    <w:p w14:paraId="218E4583" w14:textId="77777777" w:rsidR="00C30747" w:rsidRDefault="00C30747" w:rsidP="00C30747">
                      <w:r w:rsidRPr="00DF505E">
                        <w:t>Herausgeber:</w:t>
                      </w:r>
                      <w:r w:rsidRPr="00696D9A">
                        <w:t xml:space="preserve"> Agentur für kommunalen Klimaschutz</w:t>
                      </w:r>
                      <w:r w:rsidRPr="00696D9A">
                        <w:br/>
                        <w:t>am Deutschen Institut für Urbanistik gGmbH (</w:t>
                      </w:r>
                      <w:proofErr w:type="spellStart"/>
                      <w:r w:rsidRPr="00696D9A">
                        <w:t>Difu</w:t>
                      </w:r>
                      <w:proofErr w:type="spellEnd"/>
                      <w:r w:rsidRPr="00696D9A">
                        <w:t>), Zimmerstr. 13-15, 10969 Berlin,</w:t>
                      </w:r>
                      <w:r w:rsidRPr="00696D9A">
                        <w:br/>
                      </w:r>
                      <w:r>
                        <w:t>im Auftrag des Bundesministeriums für Umwelt, Klimaschutz, Naturschutz und nukleare Sicherheit</w:t>
                      </w:r>
                      <w:r w:rsidRPr="00021827">
                        <w:t xml:space="preserve">. </w:t>
                      </w:r>
                    </w:p>
                    <w:p w14:paraId="6A0D72F3" w14:textId="77777777" w:rsidR="00C30747" w:rsidRPr="00696D9A" w:rsidRDefault="00C30747" w:rsidP="00C30747">
                      <w:r>
                        <w:t>Die Ausarbeitungen zu dieser Veröffentlichung sind in Zusammenarbeit mit dem Institut für Energie- und Umweltforschung (</w:t>
                      </w:r>
                      <w:proofErr w:type="spellStart"/>
                      <w:r>
                        <w:t>ifeu</w:t>
                      </w:r>
                      <w:proofErr w:type="spellEnd"/>
                      <w:r>
                        <w:t>) entstanden.</w:t>
                      </w:r>
                    </w:p>
                    <w:p w14:paraId="20FFD59B" w14:textId="77777777" w:rsidR="00C30747" w:rsidRPr="00696D9A" w:rsidRDefault="00C30747" w:rsidP="00C30747">
                      <w:r w:rsidRPr="00696D9A">
                        <w:t xml:space="preserve">Alle Rechte vorbehalten. </w:t>
                      </w:r>
                      <w:r>
                        <w:t>April 2026</w:t>
                      </w:r>
                      <w:r w:rsidRPr="00696D9A">
                        <w:t>.</w:t>
                      </w:r>
                    </w:p>
                    <w:p w14:paraId="11B2626B" w14:textId="77777777" w:rsidR="00C30747" w:rsidRPr="00696D9A" w:rsidRDefault="00C30747" w:rsidP="00C30747">
                      <w:r w:rsidRPr="00696D9A">
                        <w:t xml:space="preserve">Diese Veröffentlichung wird kostenlos zum Download angeboten und ist nicht für den Verkauf bestimmt. </w:t>
                      </w:r>
                    </w:p>
                    <w:p w14:paraId="06BF97FC" w14:textId="5813A94E" w:rsidR="00244774" w:rsidRPr="00FB637C" w:rsidRDefault="00C30747" w:rsidP="00FB637C">
                      <w:r>
                        <w:rPr>
                          <w:noProof/>
                        </w:rPr>
                        <w:drawing>
                          <wp:inline distT="0" distB="0" distL="0" distR="0" wp14:anchorId="70062D0B" wp14:editId="66986434">
                            <wp:extent cx="5571490" cy="1270000"/>
                            <wp:effectExtent l="0" t="0" r="0" b="6350"/>
                            <wp:docPr id="4" name="Grafik 4"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Zu sehen sind drei grafische Darstellungen: links das Logo der Agentur für kommunalen Klimaschutz, mittig das Logo des BMUKN und rechts das Logo der NKI. Das Logo des BMUKNs ist aufgeteilt in das deutsche Flaggensymbol des Adlers am linken oberen Rand, in einfacher schwarzer grafischer Darstellung. Rechts daneben ein schmaler langer Streifen mit den Farben der deutschen Flagge schwarz-rot-gold. Rechts oben daneben der Schriftzug &quot;Bundesministerium für Umwelt, Klimaschutz, Naturschutz und nukleare Sicherheit&quot;. Auf dem Logo des NKIs ist auf der linken Seite eine einfache grafische Darstellung der Erde: die Kontinente sind weiß gehalten, die Meere bla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1490" cy="1270000"/>
                                    </a:xfrm>
                                    <a:prstGeom prst="rect">
                                      <a:avLst/>
                                    </a:prstGeom>
                                    <a:noFill/>
                                    <a:ln>
                                      <a:noFill/>
                                    </a:ln>
                                  </pic:spPr>
                                </pic:pic>
                              </a:graphicData>
                            </a:graphic>
                          </wp:inline>
                        </w:drawing>
                      </w:r>
                    </w:p>
                  </w:txbxContent>
                </v:textbox>
                <w10:anchorlock/>
              </v:rect>
            </w:pict>
          </mc:Fallback>
        </mc:AlternateContent>
      </w:r>
    </w:p>
    <w:sectPr w:rsidR="0024477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E69D0" w14:textId="77777777" w:rsidR="000E5445" w:rsidRDefault="000E5445">
      <w:pPr>
        <w:spacing w:after="0" w:line="240" w:lineRule="auto"/>
      </w:pPr>
      <w:r>
        <w:separator/>
      </w:r>
    </w:p>
  </w:endnote>
  <w:endnote w:type="continuationSeparator" w:id="0">
    <w:p w14:paraId="4B0D8F65" w14:textId="77777777" w:rsidR="000E5445" w:rsidRDefault="000E5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1EB27" w14:textId="77777777" w:rsidR="00244774" w:rsidRDefault="002447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301C5" w14:textId="77777777" w:rsidR="00244774" w:rsidRDefault="00A0490E">
    <w:pPr>
      <w:pStyle w:val="Fuzeile"/>
      <w:jc w:val="right"/>
      <w:rPr>
        <w:rFonts w:cs="Arial"/>
      </w:rPr>
    </w:pPr>
    <w:r>
      <w:rPr>
        <w:rFonts w:cs="Arial"/>
      </w:rPr>
      <w:fldChar w:fldCharType="begin"/>
    </w:r>
    <w:r>
      <w:rPr>
        <w:rFonts w:cs="Arial"/>
      </w:rPr>
      <w:instrText xml:space="preserve"> PAGE </w:instrText>
    </w:r>
    <w:r>
      <w:rPr>
        <w:rFonts w:cs="Arial"/>
      </w:rPr>
      <w:fldChar w:fldCharType="separate"/>
    </w:r>
    <w:r>
      <w:rPr>
        <w:rFonts w:cs="Arial"/>
      </w:rPr>
      <w:t>5</w:t>
    </w:r>
    <w:r>
      <w:rPr>
        <w:rFonts w:cs="Arial"/>
      </w:rPr>
      <w:fldChar w:fldCharType="end"/>
    </w:r>
  </w:p>
  <w:p w14:paraId="4167D25C" w14:textId="77777777" w:rsidR="00244774" w:rsidRDefault="00244774">
    <w:pPr>
      <w:pStyle w:val="Fuzeile"/>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976B8" w14:textId="77777777" w:rsidR="00244774" w:rsidRDefault="002447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B05E" w14:textId="77777777" w:rsidR="000E5445" w:rsidRDefault="000E5445">
      <w:pPr>
        <w:spacing w:after="0" w:line="240" w:lineRule="auto"/>
      </w:pPr>
      <w:r>
        <w:separator/>
      </w:r>
    </w:p>
  </w:footnote>
  <w:footnote w:type="continuationSeparator" w:id="0">
    <w:p w14:paraId="553D4D87" w14:textId="77777777" w:rsidR="000E5445" w:rsidRDefault="000E5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3C92B" w14:textId="77777777" w:rsidR="00244774" w:rsidRDefault="0024477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1113E" w14:textId="77777777" w:rsidR="00244774" w:rsidRDefault="002447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F747F" w14:textId="77777777" w:rsidR="00244774" w:rsidRDefault="00A0490E">
    <w:pPr>
      <w:pStyle w:val="Kopfzeile"/>
      <w:jc w:val="right"/>
    </w:pPr>
    <w:r>
      <w:rPr>
        <w:noProof/>
      </w:rPr>
      <w:drawing>
        <wp:inline distT="0" distB="0" distL="0" distR="0" wp14:anchorId="7F87A48D" wp14:editId="11C0C46A">
          <wp:extent cx="1386840" cy="651510"/>
          <wp:effectExtent l="0" t="0" r="0" b="0"/>
          <wp:docPr id="2"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pic:cNvPicPr>
                    <a:picLocks noChangeAspect="1" noChangeArrowheads="1"/>
                  </pic:cNvPicPr>
                </pic:nvPicPr>
                <pic:blipFill>
                  <a:blip r:embed="rId1"/>
                  <a:stretch>
                    <a:fillRect/>
                  </a:stretch>
                </pic:blipFill>
                <pic:spPr bwMode="auto">
                  <a:xfrm>
                    <a:off x="0" y="0"/>
                    <a:ext cx="1386840" cy="651510"/>
                  </a:xfrm>
                  <a:prstGeom prst="rect">
                    <a:avLst/>
                  </a:prstGeom>
                  <a:noFill/>
                </pic:spPr>
              </pic:pic>
            </a:graphicData>
          </a:graphic>
        </wp:inline>
      </w:drawing>
    </w:r>
    <w:r>
      <w:rPr>
        <w:noProof/>
      </w:rPr>
      <w:drawing>
        <wp:inline distT="0" distB="0" distL="0" distR="0" wp14:anchorId="2B3BCE7B" wp14:editId="306D1276">
          <wp:extent cx="889635" cy="662940"/>
          <wp:effectExtent l="0" t="0" r="0" b="0"/>
          <wp:docPr id="3" name="Grafik 2"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s Di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s Difu"/>
                  <pic:cNvPicPr>
                    <a:picLocks noChangeAspect="1" noChangeArrowheads="1"/>
                  </pic:cNvPicPr>
                </pic:nvPicPr>
                <pic:blipFill>
                  <a:blip r:embed="rId2"/>
                  <a:stretch>
                    <a:fillRect/>
                  </a:stretch>
                </pic:blipFill>
                <pic:spPr bwMode="auto">
                  <a:xfrm>
                    <a:off x="0" y="0"/>
                    <a:ext cx="889635" cy="6629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2CA4"/>
    <w:multiLevelType w:val="multilevel"/>
    <w:tmpl w:val="B1F22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056B67"/>
    <w:multiLevelType w:val="multilevel"/>
    <w:tmpl w:val="25AA487A"/>
    <w:lvl w:ilvl="0">
      <w:start w:val="1"/>
      <w:numFmt w:val="bullet"/>
      <w:isLgl/>
      <w:lvlText w:val=""/>
      <w:lvlJc w:val="left"/>
      <w:pPr>
        <w:tabs>
          <w:tab w:val="num" w:pos="0"/>
        </w:tabs>
        <w:ind w:left="720" w:hanging="360"/>
      </w:pPr>
      <w:rPr>
        <w:rFonts w:ascii="Symbol" w:hAnsi="Symbol" w:cs="Symbol" w:hint="default"/>
      </w:rPr>
    </w:lvl>
    <w:lvl w:ilvl="1">
      <w:start w:val="1"/>
      <w:numFmt w:val="bullet"/>
      <w:isLgl/>
      <w:lvlText w:val="o"/>
      <w:lvlJc w:val="left"/>
      <w:pPr>
        <w:tabs>
          <w:tab w:val="num" w:pos="0"/>
        </w:tabs>
        <w:ind w:left="1440" w:hanging="360"/>
      </w:pPr>
      <w:rPr>
        <w:rFonts w:ascii="Courier New" w:hAnsi="Courier New" w:cs="Courier New" w:hint="default"/>
      </w:rPr>
    </w:lvl>
    <w:lvl w:ilvl="2">
      <w:start w:val="1"/>
      <w:numFmt w:val="bullet"/>
      <w:isLgl/>
      <w:lvlText w:val=""/>
      <w:lvlJc w:val="left"/>
      <w:pPr>
        <w:tabs>
          <w:tab w:val="num" w:pos="0"/>
        </w:tabs>
        <w:ind w:left="2160" w:hanging="360"/>
      </w:pPr>
      <w:rPr>
        <w:rFonts w:ascii="Wingdings" w:hAnsi="Wingdings" w:cs="Wingdings" w:hint="default"/>
      </w:rPr>
    </w:lvl>
    <w:lvl w:ilvl="3">
      <w:start w:val="1"/>
      <w:numFmt w:val="bullet"/>
      <w:isLgl/>
      <w:lvlText w:val=""/>
      <w:lvlJc w:val="left"/>
      <w:pPr>
        <w:tabs>
          <w:tab w:val="num" w:pos="0"/>
        </w:tabs>
        <w:ind w:left="2880" w:hanging="360"/>
      </w:pPr>
      <w:rPr>
        <w:rFonts w:ascii="Symbol" w:hAnsi="Symbol" w:cs="Symbol" w:hint="default"/>
      </w:rPr>
    </w:lvl>
    <w:lvl w:ilvl="4">
      <w:start w:val="1"/>
      <w:numFmt w:val="bullet"/>
      <w:isLgl/>
      <w:lvlText w:val="o"/>
      <w:lvlJc w:val="left"/>
      <w:pPr>
        <w:tabs>
          <w:tab w:val="num" w:pos="0"/>
        </w:tabs>
        <w:ind w:left="3600" w:hanging="360"/>
      </w:pPr>
      <w:rPr>
        <w:rFonts w:ascii="Courier New" w:hAnsi="Courier New" w:cs="Courier New" w:hint="default"/>
      </w:rPr>
    </w:lvl>
    <w:lvl w:ilvl="5">
      <w:start w:val="1"/>
      <w:numFmt w:val="bullet"/>
      <w:isLgl/>
      <w:lvlText w:val=""/>
      <w:lvlJc w:val="left"/>
      <w:pPr>
        <w:tabs>
          <w:tab w:val="num" w:pos="0"/>
        </w:tabs>
        <w:ind w:left="4320" w:hanging="360"/>
      </w:pPr>
      <w:rPr>
        <w:rFonts w:ascii="Wingdings" w:hAnsi="Wingdings" w:cs="Wingdings" w:hint="default"/>
      </w:rPr>
    </w:lvl>
    <w:lvl w:ilvl="6">
      <w:start w:val="1"/>
      <w:numFmt w:val="bullet"/>
      <w:isLgl/>
      <w:lvlText w:val=""/>
      <w:lvlJc w:val="left"/>
      <w:pPr>
        <w:tabs>
          <w:tab w:val="num" w:pos="0"/>
        </w:tabs>
        <w:ind w:left="5040" w:hanging="360"/>
      </w:pPr>
      <w:rPr>
        <w:rFonts w:ascii="Symbol" w:hAnsi="Symbol" w:cs="Symbol" w:hint="default"/>
      </w:rPr>
    </w:lvl>
    <w:lvl w:ilvl="7">
      <w:start w:val="1"/>
      <w:numFmt w:val="bullet"/>
      <w:isLgl/>
      <w:lvlText w:val="o"/>
      <w:lvlJc w:val="left"/>
      <w:pPr>
        <w:tabs>
          <w:tab w:val="num" w:pos="0"/>
        </w:tabs>
        <w:ind w:left="5760" w:hanging="360"/>
      </w:pPr>
      <w:rPr>
        <w:rFonts w:ascii="Courier New" w:hAnsi="Courier New" w:cs="Courier New" w:hint="default"/>
      </w:rPr>
    </w:lvl>
    <w:lvl w:ilvl="8">
      <w:start w:val="1"/>
      <w:numFmt w:val="bullet"/>
      <w:isLgl/>
      <w:lvlText w:val=""/>
      <w:lvlJc w:val="left"/>
      <w:pPr>
        <w:tabs>
          <w:tab w:val="num" w:pos="0"/>
        </w:tabs>
        <w:ind w:left="6480" w:hanging="360"/>
      </w:pPr>
      <w:rPr>
        <w:rFonts w:ascii="Wingdings" w:hAnsi="Wingdings" w:cs="Wingdings" w:hint="default"/>
      </w:rPr>
    </w:lvl>
  </w:abstractNum>
  <w:abstractNum w:abstractNumId="2" w15:restartNumberingAfterBreak="0">
    <w:nsid w:val="12EA4D79"/>
    <w:multiLevelType w:val="multilevel"/>
    <w:tmpl w:val="D26ABE28"/>
    <w:lvl w:ilvl="0">
      <w:start w:val="1"/>
      <w:numFmt w:val="bullet"/>
      <w:pStyle w:val="BuletinBC"/>
      <w:isLgl/>
      <w:lvlText w:val=""/>
      <w:lvlJc w:val="left"/>
      <w:pPr>
        <w:tabs>
          <w:tab w:val="num" w:pos="0"/>
        </w:tabs>
        <w:ind w:left="-1056" w:hanging="360"/>
      </w:pPr>
      <w:rPr>
        <w:rFonts w:ascii="Symbol" w:hAnsi="Symbol" w:cs="Symbol" w:hint="default"/>
      </w:rPr>
    </w:lvl>
    <w:lvl w:ilvl="1">
      <w:start w:val="1"/>
      <w:numFmt w:val="bullet"/>
      <w:isLgl/>
      <w:lvlText w:val="o"/>
      <w:lvlJc w:val="left"/>
      <w:pPr>
        <w:tabs>
          <w:tab w:val="num" w:pos="0"/>
        </w:tabs>
        <w:ind w:left="-336" w:hanging="360"/>
      </w:pPr>
      <w:rPr>
        <w:rFonts w:ascii="Courier New" w:hAnsi="Courier New" w:cs="Courier New" w:hint="default"/>
      </w:rPr>
    </w:lvl>
    <w:lvl w:ilvl="2">
      <w:numFmt w:val="bullet"/>
      <w:isLgl/>
      <w:lvlText w:val="·"/>
      <w:lvlJc w:val="left"/>
      <w:pPr>
        <w:tabs>
          <w:tab w:val="num" w:pos="0"/>
        </w:tabs>
        <w:ind w:left="588" w:hanging="564"/>
      </w:pPr>
      <w:rPr>
        <w:rFonts w:ascii="Arial" w:hAnsi="Arial" w:cs="Arial" w:hint="default"/>
      </w:rPr>
    </w:lvl>
    <w:lvl w:ilvl="3">
      <w:start w:val="324"/>
      <w:numFmt w:val="bullet"/>
      <w:isLgl/>
      <w:lvlText w:val=""/>
      <w:lvlJc w:val="left"/>
      <w:pPr>
        <w:tabs>
          <w:tab w:val="num" w:pos="0"/>
        </w:tabs>
        <w:ind w:left="1104" w:hanging="360"/>
      </w:pPr>
      <w:rPr>
        <w:rFonts w:ascii="Wingdings" w:hAnsi="Wingdings" w:cs="Wingdings" w:hint="default"/>
      </w:rPr>
    </w:lvl>
    <w:lvl w:ilvl="4">
      <w:start w:val="1"/>
      <w:numFmt w:val="bullet"/>
      <w:isLgl/>
      <w:lvlText w:val="o"/>
      <w:lvlJc w:val="left"/>
      <w:pPr>
        <w:tabs>
          <w:tab w:val="num" w:pos="0"/>
        </w:tabs>
        <w:ind w:left="1824" w:hanging="360"/>
      </w:pPr>
      <w:rPr>
        <w:rFonts w:ascii="Courier New" w:hAnsi="Courier New" w:cs="Courier New" w:hint="default"/>
      </w:rPr>
    </w:lvl>
    <w:lvl w:ilvl="5">
      <w:start w:val="1"/>
      <w:numFmt w:val="bullet"/>
      <w:isLgl/>
      <w:lvlText w:val=""/>
      <w:lvlJc w:val="left"/>
      <w:pPr>
        <w:tabs>
          <w:tab w:val="num" w:pos="0"/>
        </w:tabs>
        <w:ind w:left="2544" w:hanging="360"/>
      </w:pPr>
      <w:rPr>
        <w:rFonts w:ascii="Wingdings" w:hAnsi="Wingdings" w:cs="Wingdings" w:hint="default"/>
      </w:rPr>
    </w:lvl>
    <w:lvl w:ilvl="6">
      <w:start w:val="1"/>
      <w:numFmt w:val="bullet"/>
      <w:isLgl/>
      <w:lvlText w:val=""/>
      <w:lvlJc w:val="left"/>
      <w:pPr>
        <w:tabs>
          <w:tab w:val="num" w:pos="0"/>
        </w:tabs>
        <w:ind w:left="3264" w:hanging="360"/>
      </w:pPr>
      <w:rPr>
        <w:rFonts w:ascii="Symbol" w:hAnsi="Symbol" w:cs="Symbol" w:hint="default"/>
      </w:rPr>
    </w:lvl>
    <w:lvl w:ilvl="7">
      <w:start w:val="1"/>
      <w:numFmt w:val="bullet"/>
      <w:isLgl/>
      <w:lvlText w:val="o"/>
      <w:lvlJc w:val="left"/>
      <w:pPr>
        <w:tabs>
          <w:tab w:val="num" w:pos="0"/>
        </w:tabs>
        <w:ind w:left="3984" w:hanging="360"/>
      </w:pPr>
      <w:rPr>
        <w:rFonts w:ascii="Courier New" w:hAnsi="Courier New" w:cs="Courier New" w:hint="default"/>
      </w:rPr>
    </w:lvl>
    <w:lvl w:ilvl="8">
      <w:start w:val="1"/>
      <w:numFmt w:val="bullet"/>
      <w:isLgl/>
      <w:lvlText w:val=""/>
      <w:lvlJc w:val="left"/>
      <w:pPr>
        <w:tabs>
          <w:tab w:val="num" w:pos="0"/>
        </w:tabs>
        <w:ind w:left="4704" w:hanging="360"/>
      </w:pPr>
      <w:rPr>
        <w:rFonts w:ascii="Wingdings" w:hAnsi="Wingdings" w:cs="Wingdings" w:hint="default"/>
      </w:rPr>
    </w:lvl>
  </w:abstractNum>
  <w:num w:numId="1" w16cid:durableId="1362707655">
    <w:abstractNumId w:val="2"/>
  </w:num>
  <w:num w:numId="2" w16cid:durableId="378824826">
    <w:abstractNumId w:val="1"/>
  </w:num>
  <w:num w:numId="3" w16cid:durableId="1803577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774"/>
    <w:rsid w:val="00095DDE"/>
    <w:rsid w:val="000E5445"/>
    <w:rsid w:val="0019084D"/>
    <w:rsid w:val="00244774"/>
    <w:rsid w:val="00250ED2"/>
    <w:rsid w:val="00441331"/>
    <w:rsid w:val="004D6426"/>
    <w:rsid w:val="004E71DE"/>
    <w:rsid w:val="00511E15"/>
    <w:rsid w:val="005663FF"/>
    <w:rsid w:val="005E4A15"/>
    <w:rsid w:val="006F6DA4"/>
    <w:rsid w:val="007705B7"/>
    <w:rsid w:val="00832AB7"/>
    <w:rsid w:val="009459F1"/>
    <w:rsid w:val="00A0490E"/>
    <w:rsid w:val="00A30770"/>
    <w:rsid w:val="00B81009"/>
    <w:rsid w:val="00B811D4"/>
    <w:rsid w:val="00C30747"/>
    <w:rsid w:val="00D02A36"/>
    <w:rsid w:val="00E94C2E"/>
    <w:rsid w:val="00F65C9A"/>
    <w:rsid w:val="00FB637C"/>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48BD9"/>
  <w15:docId w15:val="{37BD9014-5A4C-4E0F-9778-B4B674474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6DA4"/>
    <w:pPr>
      <w:suppressAutoHyphens w:val="0"/>
      <w:spacing w:after="160" w:line="259" w:lineRule="auto"/>
    </w:pPr>
    <w:rPr>
      <w:rFonts w:ascii="Arial" w:hAnsi="Arial"/>
    </w:rPr>
  </w:style>
  <w:style w:type="paragraph" w:styleId="berschrift1">
    <w:name w:val="heading 1"/>
    <w:basedOn w:val="Standard"/>
    <w:next w:val="Standard"/>
    <w:link w:val="berschrift1Zchn"/>
    <w:uiPriority w:val="9"/>
    <w:qFormat/>
    <w:pPr>
      <w:keepNext/>
      <w:keepLines/>
      <w:spacing w:before="240" w:after="0"/>
      <w:outlineLvl w:val="0"/>
    </w:pPr>
    <w:rPr>
      <w:rFonts w:eastAsiaTheme="majorEastAsia" w:cstheme="majorBidi"/>
      <w:color w:val="0043B5"/>
      <w:sz w:val="32"/>
      <w:szCs w:val="32"/>
    </w:rPr>
  </w:style>
  <w:style w:type="paragraph" w:styleId="berschrift2">
    <w:name w:val="heading 2"/>
    <w:basedOn w:val="Standard"/>
    <w:next w:val="Standard"/>
    <w:link w:val="berschrift2Zchn"/>
    <w:uiPriority w:val="9"/>
    <w:unhideWhenUsed/>
    <w:qFormat/>
    <w:pPr>
      <w:keepNext/>
      <w:keepLines/>
      <w:spacing w:before="40" w:after="0"/>
      <w:outlineLvl w:val="1"/>
    </w:pPr>
    <w:rPr>
      <w:rFonts w:eastAsiaTheme="majorEastAsia" w:cstheme="majorBidi"/>
      <w:color w:val="0043B5"/>
      <w:sz w:val="28"/>
      <w:szCs w:val="26"/>
    </w:rPr>
  </w:style>
  <w:style w:type="paragraph" w:styleId="berschrift3">
    <w:name w:val="heading 3"/>
    <w:basedOn w:val="berschrift2"/>
    <w:next w:val="Standard"/>
    <w:link w:val="berschrift3Zchn"/>
    <w:uiPriority w:val="9"/>
    <w:unhideWhenUsed/>
    <w:qFormat/>
    <w:rsid w:val="006F6DA4"/>
    <w:pPr>
      <w:spacing w:before="120"/>
      <w:outlineLvl w:val="2"/>
    </w:pPr>
    <w:rPr>
      <w:sz w:val="24"/>
      <w:szCs w:val="24"/>
    </w:rPr>
  </w:style>
  <w:style w:type="paragraph" w:styleId="berschrift4">
    <w:name w:val="heading 4"/>
    <w:basedOn w:val="berschrift3"/>
    <w:next w:val="Standard"/>
    <w:link w:val="berschrift4Zchn"/>
    <w:uiPriority w:val="9"/>
    <w:unhideWhenUsed/>
    <w:qFormat/>
    <w:rsid w:val="006F6DA4"/>
    <w:pPr>
      <w:outlineLvl w:val="3"/>
    </w:pPr>
    <w:rPr>
      <w:i/>
      <w:iCs/>
      <w:sz w:val="22"/>
    </w:rPr>
  </w:style>
  <w:style w:type="paragraph" w:styleId="berschrift5">
    <w:name w:val="heading 5"/>
    <w:basedOn w:val="Standard"/>
    <w:next w:val="Standard"/>
    <w:link w:val="berschrift5Zchn"/>
    <w:uiPriority w:val="9"/>
    <w:unhideWhenUsed/>
    <w:qFormat/>
    <w:rsid w:val="00C30747"/>
    <w:pPr>
      <w:keepNext/>
      <w:keepLines/>
      <w:spacing w:before="80" w:after="40"/>
      <w:outlineLvl w:val="4"/>
    </w:pPr>
    <w:rPr>
      <w:rFonts w:eastAsia="Arial" w:cs="Arial"/>
      <w:color w:val="0043B5"/>
    </w:rPr>
  </w:style>
  <w:style w:type="paragraph" w:styleId="berschrift6">
    <w:name w:val="heading 6"/>
    <w:basedOn w:val="Standard"/>
    <w:next w:val="Standard"/>
    <w:link w:val="berschrift6Zchn"/>
    <w:uiPriority w:val="9"/>
    <w:unhideWhenUsed/>
    <w:qFormat/>
    <w:pPr>
      <w:keepNext/>
      <w:keepLines/>
      <w:spacing w:before="40" w:after="0"/>
      <w:outlineLvl w:val="5"/>
    </w:pPr>
    <w:rPr>
      <w:rFonts w:eastAsia="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eastAsia="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eastAsia="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eastAsia="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qFormat/>
    <w:rsid w:val="00C30747"/>
    <w:rPr>
      <w:rFonts w:ascii="Arial" w:eastAsia="Arial" w:hAnsi="Arial" w:cs="Arial"/>
      <w:color w:val="0043B5"/>
    </w:rPr>
  </w:style>
  <w:style w:type="character" w:customStyle="1" w:styleId="berschrift6Zchn">
    <w:name w:val="Überschrift 6 Zchn"/>
    <w:basedOn w:val="Absatz-Standardschriftart"/>
    <w:link w:val="berschrift6"/>
    <w:uiPriority w:val="9"/>
    <w:qFormat/>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qFormat/>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qFormat/>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qFormat/>
    <w:rPr>
      <w:rFonts w:ascii="Arial" w:eastAsia="Arial" w:hAnsi="Arial" w:cs="Arial"/>
      <w:i/>
      <w:iCs/>
      <w:color w:val="272727" w:themeColor="text1" w:themeTint="D8"/>
    </w:rPr>
  </w:style>
  <w:style w:type="character" w:customStyle="1" w:styleId="TitelZchn">
    <w:name w:val="Titel Zchn"/>
    <w:basedOn w:val="Absatz-Standardschriftart"/>
    <w:link w:val="Titel"/>
    <w:uiPriority w:val="10"/>
    <w:qFormat/>
    <w:rPr>
      <w:rFonts w:ascii="Arial" w:eastAsia="Arial" w:hAnsi="Arial" w:cs="Arial"/>
      <w:spacing w:val="-10"/>
      <w:sz w:val="56"/>
      <w:szCs w:val="56"/>
    </w:rPr>
  </w:style>
  <w:style w:type="character" w:customStyle="1" w:styleId="UntertitelZchn">
    <w:name w:val="Untertitel Zchn"/>
    <w:basedOn w:val="Absatz-Standardschriftart"/>
    <w:link w:val="Untertitel"/>
    <w:uiPriority w:val="11"/>
    <w:qFormat/>
    <w:rPr>
      <w:color w:val="595959" w:themeColor="text1" w:themeTint="A6"/>
      <w:spacing w:val="15"/>
      <w:sz w:val="28"/>
      <w:szCs w:val="28"/>
    </w:rPr>
  </w:style>
  <w:style w:type="character" w:customStyle="1" w:styleId="ZitatZchn">
    <w:name w:val="Zitat Zchn"/>
    <w:basedOn w:val="Absatz-Standardschriftart"/>
    <w:link w:val="Zitat"/>
    <w:uiPriority w:val="29"/>
    <w:qFormat/>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character" w:customStyle="1" w:styleId="IntensivesZitatZchn">
    <w:name w:val="Intensives Zitat Zchn"/>
    <w:basedOn w:val="Absatz-Standardschriftart"/>
    <w:link w:val="IntensivesZitat"/>
    <w:uiPriority w:val="30"/>
    <w:qFormat/>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qFormat/>
  </w:style>
  <w:style w:type="character" w:customStyle="1" w:styleId="FooterChar">
    <w:name w:val="Footer Char"/>
    <w:basedOn w:val="Absatz-Standardschriftart"/>
    <w:uiPriority w:val="99"/>
    <w:qFormat/>
  </w:style>
  <w:style w:type="character" w:customStyle="1" w:styleId="FootnoteTextChar">
    <w:name w:val="Footnote Text Char"/>
    <w:basedOn w:val="Absatz-Standardschriftart"/>
    <w:uiPriority w:val="99"/>
    <w:semiHidden/>
    <w:qFormat/>
    <w:rPr>
      <w:sz w:val="20"/>
      <w:szCs w:val="20"/>
    </w:rPr>
  </w:style>
  <w:style w:type="character" w:customStyle="1" w:styleId="EndnotentextZchn">
    <w:name w:val="Endnotentext Zchn"/>
    <w:basedOn w:val="Absatz-Standardschriftart"/>
    <w:link w:val="Endnotentext"/>
    <w:uiPriority w:val="99"/>
    <w:semiHidden/>
    <w:qFormat/>
    <w:rPr>
      <w:sz w:val="20"/>
      <w:szCs w:val="20"/>
    </w:rPr>
  </w:style>
  <w:style w:type="character" w:customStyle="1" w:styleId="Endnotenzeichenuser">
    <w:name w:val="Endnotenzeichen (user)"/>
    <w:basedOn w:val="Absatz-Standardschriftart"/>
    <w:uiPriority w:val="99"/>
    <w:semiHidden/>
    <w:unhideWhenUsed/>
    <w:qFormat/>
    <w:rPr>
      <w:vertAlign w:val="superscript"/>
    </w:rPr>
  </w:style>
  <w:style w:type="character" w:styleId="Endnotenzeichen">
    <w:name w:val="endnote reference"/>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character" w:styleId="Platzhaltertext">
    <w:name w:val="Placeholder Text"/>
    <w:basedOn w:val="Absatz-Standardschriftart"/>
    <w:uiPriority w:val="99"/>
    <w:semiHidden/>
    <w:qFormat/>
    <w:rPr>
      <w:color w:val="666666"/>
    </w:rPr>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customStyle="1" w:styleId="SprechblasentextZchn">
    <w:name w:val="Sprechblasentext Zchn"/>
    <w:basedOn w:val="Absatz-Standardschriftart"/>
    <w:link w:val="Sprechblasentext"/>
    <w:uiPriority w:val="99"/>
    <w:semiHidden/>
    <w:qFormat/>
    <w:rPr>
      <w:rFonts w:ascii="Segoe UI" w:hAnsi="Segoe UI" w:cs="Segoe UI"/>
      <w:sz w:val="18"/>
      <w:szCs w:val="18"/>
    </w:rPr>
  </w:style>
  <w:style w:type="character" w:styleId="Kommentarzeichen">
    <w:name w:val="annotation reference"/>
    <w:basedOn w:val="Absatz-Standardschriftart"/>
    <w:uiPriority w:val="99"/>
    <w:semiHidden/>
    <w:unhideWhenUsed/>
    <w:qFormat/>
    <w:rPr>
      <w:sz w:val="16"/>
      <w:szCs w:val="16"/>
    </w:rPr>
  </w:style>
  <w:style w:type="character" w:customStyle="1" w:styleId="KommentartextZchn">
    <w:name w:val="Kommentartext Zchn"/>
    <w:basedOn w:val="Absatz-Standardschriftart"/>
    <w:link w:val="Kommentartext"/>
    <w:uiPriority w:val="99"/>
    <w:qFormat/>
    <w:rPr>
      <w:sz w:val="20"/>
      <w:szCs w:val="20"/>
    </w:rPr>
  </w:style>
  <w:style w:type="character" w:customStyle="1" w:styleId="KommentarthemaZchn">
    <w:name w:val="Kommentarthema Zchn"/>
    <w:basedOn w:val="KommentartextZchn"/>
    <w:link w:val="Kommentarthema"/>
    <w:uiPriority w:val="99"/>
    <w:semiHidden/>
    <w:qFormat/>
    <w:rPr>
      <w:b/>
      <w:bCs/>
      <w:sz w:val="20"/>
      <w:szCs w:val="20"/>
    </w:rPr>
  </w:style>
  <w:style w:type="character" w:styleId="Fett">
    <w:name w:val="Strong"/>
    <w:uiPriority w:val="22"/>
    <w:qFormat/>
    <w:rPr>
      <w:b/>
      <w:bCs/>
    </w:rPr>
  </w:style>
  <w:style w:type="character" w:customStyle="1" w:styleId="BuletinBCZchn">
    <w:name w:val="Buletin BC Zchn"/>
    <w:basedOn w:val="Absatz-Standardschriftart"/>
    <w:link w:val="BuletinBC"/>
    <w:qFormat/>
  </w:style>
  <w:style w:type="character" w:styleId="Hyperlink">
    <w:name w:val="Hyperlink"/>
    <w:basedOn w:val="Absatz-Standardschriftart"/>
    <w:uiPriority w:val="99"/>
    <w:unhideWhenUsed/>
    <w:rPr>
      <w:color w:val="0563C1" w:themeColor="hyperlink"/>
      <w:u w:val="single"/>
    </w:rPr>
  </w:style>
  <w:style w:type="character" w:customStyle="1" w:styleId="berschrift1Zchn">
    <w:name w:val="Überschrift 1 Zchn"/>
    <w:basedOn w:val="Absatz-Standardschriftart"/>
    <w:link w:val="berschrift1"/>
    <w:uiPriority w:val="9"/>
    <w:qFormat/>
    <w:rPr>
      <w:rFonts w:ascii="Arial" w:eastAsiaTheme="majorEastAsia" w:hAnsi="Arial" w:cstheme="majorBidi"/>
      <w:color w:val="0043B5"/>
      <w:sz w:val="32"/>
      <w:szCs w:val="32"/>
    </w:rPr>
  </w:style>
  <w:style w:type="character" w:customStyle="1" w:styleId="berschrift2Zchn">
    <w:name w:val="Überschrift 2 Zchn"/>
    <w:basedOn w:val="Absatz-Standardschriftart"/>
    <w:link w:val="berschrift2"/>
    <w:uiPriority w:val="9"/>
    <w:qFormat/>
    <w:rPr>
      <w:rFonts w:ascii="Arial" w:eastAsiaTheme="majorEastAsia" w:hAnsi="Arial" w:cstheme="majorBidi"/>
      <w:color w:val="0043B5"/>
      <w:sz w:val="28"/>
      <w:szCs w:val="26"/>
    </w:rPr>
  </w:style>
  <w:style w:type="character" w:customStyle="1" w:styleId="berschrift3Zchn">
    <w:name w:val="Überschrift 3 Zchn"/>
    <w:basedOn w:val="Absatz-Standardschriftart"/>
    <w:link w:val="berschrift3"/>
    <w:uiPriority w:val="9"/>
    <w:qFormat/>
    <w:rsid w:val="006F6DA4"/>
    <w:rPr>
      <w:rFonts w:ascii="Arial" w:eastAsiaTheme="majorEastAsia" w:hAnsi="Arial" w:cstheme="majorBidi"/>
      <w:color w:val="0043B5"/>
      <w:sz w:val="24"/>
      <w:szCs w:val="24"/>
    </w:rPr>
  </w:style>
  <w:style w:type="character" w:customStyle="1" w:styleId="berschrift4Zchn">
    <w:name w:val="Überschrift 4 Zchn"/>
    <w:basedOn w:val="Absatz-Standardschriftart"/>
    <w:link w:val="berschrift4"/>
    <w:uiPriority w:val="9"/>
    <w:qFormat/>
    <w:rsid w:val="006F6DA4"/>
    <w:rPr>
      <w:rFonts w:ascii="Arial" w:eastAsiaTheme="majorEastAsia" w:hAnsi="Arial" w:cstheme="majorBidi"/>
      <w:i/>
      <w:iCs/>
      <w:color w:val="0043B5"/>
      <w:szCs w:val="24"/>
    </w:rPr>
  </w:style>
  <w:style w:type="character" w:customStyle="1" w:styleId="FunotentextZchn">
    <w:name w:val="Fußnotentext Zchn"/>
    <w:basedOn w:val="Absatz-Standardschriftart"/>
    <w:link w:val="Funotentext"/>
    <w:uiPriority w:val="99"/>
    <w:qFormat/>
    <w:rPr>
      <w:rFonts w:ascii="Arial" w:hAnsi="Arial"/>
      <w:sz w:val="20"/>
      <w:szCs w:val="20"/>
    </w:rPr>
  </w:style>
  <w:style w:type="character" w:customStyle="1" w:styleId="Funotenzeichenuser">
    <w:name w:val="Fußnotenzeichen (user)"/>
    <w:basedOn w:val="Absatz-Standardschriftart"/>
    <w:uiPriority w:val="99"/>
    <w:semiHidden/>
    <w:unhideWhenUsed/>
    <w:qFormat/>
    <w:rPr>
      <w:vertAlign w:val="superscript"/>
    </w:rPr>
  </w:style>
  <w:style w:type="character" w:styleId="Funotenzeichen">
    <w:name w:val="footnote reference"/>
    <w:rPr>
      <w:vertAlign w:val="superscript"/>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Titel">
    <w:name w:val="Title"/>
    <w:basedOn w:val="Standard"/>
    <w:next w:val="Standard"/>
    <w:link w:val="TitelZchn"/>
    <w:uiPriority w:val="10"/>
    <w:qFormat/>
    <w:pPr>
      <w:spacing w:after="80" w:line="240" w:lineRule="auto"/>
      <w:contextualSpacing/>
    </w:pPr>
    <w:rPr>
      <w:rFonts w:eastAsia="Arial" w:cs="Arial"/>
      <w:spacing w:val="-10"/>
      <w:sz w:val="56"/>
      <w:szCs w:val="56"/>
    </w:rPr>
  </w:style>
  <w:style w:type="paragraph" w:styleId="Untertitel">
    <w:name w:val="Subtitle"/>
    <w:basedOn w:val="Standard"/>
    <w:next w:val="Standard"/>
    <w:link w:val="UntertitelZchn"/>
    <w:uiPriority w:val="11"/>
    <w:qFormat/>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paragraph" w:styleId="KeinLeerraum">
    <w:name w:val="No Spacing"/>
    <w:basedOn w:val="Standard"/>
    <w:uiPriority w:val="1"/>
    <w:qFormat/>
    <w:pPr>
      <w:spacing w:after="0" w:line="240" w:lineRule="auto"/>
    </w:pPr>
  </w:style>
  <w:style w:type="paragraph" w:styleId="Endnotentext">
    <w:name w:val="endnote text"/>
    <w:basedOn w:val="Standard"/>
    <w:link w:val="EndnotentextZchn"/>
    <w:uiPriority w:val="99"/>
    <w:semiHidden/>
    <w:unhideWhenUsed/>
    <w:pPr>
      <w:spacing w:after="0" w:line="240" w:lineRule="auto"/>
    </w:pPr>
    <w:rPr>
      <w:sz w:val="20"/>
      <w:szCs w:val="20"/>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dexberschrift">
    <w:name w:val="index heading"/>
    <w:basedOn w:val="berschriftuser"/>
  </w:style>
  <w:style w:type="paragraph" w:styleId="Inhaltsverzeichnisberschrift">
    <w:name w:val="TOC Heading"/>
    <w:uiPriority w:val="39"/>
    <w:unhideWhenUsed/>
    <w:qFormat/>
    <w:pPr>
      <w:spacing w:after="160" w:line="259" w:lineRule="auto"/>
    </w:pPr>
  </w:style>
  <w:style w:type="paragraph" w:styleId="Abbildungsverzeichnis">
    <w:name w:val="table of figures"/>
    <w:basedOn w:val="Standard"/>
    <w:next w:val="Standard"/>
    <w:uiPriority w:val="99"/>
    <w:unhideWhenUsed/>
    <w:pPr>
      <w:spacing w:after="0"/>
    </w:p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Listenabsatz">
    <w:name w:val="List Paragraph"/>
    <w:basedOn w:val="Standard"/>
    <w:uiPriority w:val="34"/>
    <w:qFormat/>
    <w:pPr>
      <w:ind w:left="720"/>
      <w:contextualSpacing/>
    </w:pPr>
  </w:style>
  <w:style w:type="paragraph" w:customStyle="1" w:styleId="Default">
    <w:name w:val="Default"/>
    <w:qFormat/>
    <w:rPr>
      <w:rFonts w:ascii="Arial" w:eastAsia="Calibri" w:hAnsi="Arial" w:cs="Arial"/>
      <w:color w:val="000000"/>
      <w:sz w:val="24"/>
      <w:szCs w:val="24"/>
    </w:rPr>
  </w:style>
  <w:style w:type="paragraph" w:styleId="Sprechblasentext">
    <w:name w:val="Balloon Text"/>
    <w:basedOn w:val="Standard"/>
    <w:link w:val="SprechblasentextZchn"/>
    <w:uiPriority w:val="99"/>
    <w:semiHidden/>
    <w:unhideWhenUsed/>
    <w:qFormat/>
    <w:pPr>
      <w:spacing w:after="0" w:line="240" w:lineRule="auto"/>
    </w:pPr>
    <w:rPr>
      <w:rFonts w:ascii="Segoe UI" w:hAnsi="Segoe UI" w:cs="Segoe UI"/>
      <w:sz w:val="18"/>
      <w:szCs w:val="18"/>
    </w:rPr>
  </w:style>
  <w:style w:type="paragraph" w:styleId="Kommentartext">
    <w:name w:val="annotation text"/>
    <w:basedOn w:val="Standard"/>
    <w:link w:val="KommentartextZchn"/>
    <w:uiPriority w:val="99"/>
    <w:unhideWhenUsed/>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Pr>
      <w:b/>
      <w:bCs/>
    </w:rPr>
  </w:style>
  <w:style w:type="paragraph" w:customStyle="1" w:styleId="BuletinBC">
    <w:name w:val="Buletin BC"/>
    <w:basedOn w:val="Listenabsatz"/>
    <w:link w:val="BuletinBCZchn"/>
    <w:qFormat/>
    <w:pPr>
      <w:numPr>
        <w:numId w:val="1"/>
      </w:numPr>
      <w:ind w:left="720" w:firstLine="0"/>
    </w:pPr>
  </w:style>
  <w:style w:type="paragraph" w:styleId="Funotentext">
    <w:name w:val="footnote text"/>
    <w:basedOn w:val="Standard"/>
    <w:link w:val="FunotentextZchn"/>
    <w:uiPriority w:val="99"/>
    <w:unhideWhenUsed/>
    <w:pPr>
      <w:spacing w:after="0" w:line="240" w:lineRule="auto"/>
    </w:pPr>
    <w:rPr>
      <w:sz w:val="20"/>
      <w:szCs w:val="20"/>
    </w:rPr>
  </w:style>
  <w:style w:type="paragraph" w:styleId="berarbeitung">
    <w:name w:val="Revision"/>
    <w:uiPriority w:val="99"/>
    <w:semiHidden/>
    <w:qFormat/>
    <w:rPr>
      <w:rFonts w:ascii="Arial" w:hAnsi="Arial"/>
    </w:rPr>
  </w:style>
  <w:style w:type="paragraph" w:customStyle="1" w:styleId="Rahmeninhaltuser">
    <w:name w:val="Rahmeninhalt (user)"/>
    <w:basedOn w:val="Standard"/>
    <w:qFormat/>
  </w:style>
  <w:style w:type="paragraph" w:customStyle="1" w:styleId="Rahmeninhalt">
    <w:name w:val="Rahmeninhalt"/>
    <w:basedOn w:val="Standard"/>
    <w:qFormat/>
  </w:style>
  <w:style w:type="numbering" w:customStyle="1" w:styleId="KeineListeuser">
    <w:name w:val="Keine Liste (user)"/>
    <w:uiPriority w:val="99"/>
    <w:semiHidden/>
    <w:unhideWhenUsed/>
    <w:qFormat/>
  </w:style>
  <w:style w:type="table" w:customStyle="1" w:styleId="TableGridLight">
    <w:name w:val="Table Grid Light"/>
    <w:basedOn w:val="NormaleTabelle"/>
    <w:uiPriority w:val="59"/>
    <w:tblPr>
      <w:tblInd w:w="0" w:type="nil"/>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Ind w:w="0" w:type="nil"/>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EinfacheTabelle2">
    <w:name w:val="Plain Table 2"/>
    <w:basedOn w:val="NormaleTabelle"/>
    <w:uiPriority w:val="59"/>
    <w:tblPr>
      <w:tblInd w:w="0" w:type="nil"/>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Ind w:w="0" w:type="nil"/>
      <w:tblCellMar>
        <w:left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EinfacheTabelle5">
    <w:name w:val="Plain Table 5"/>
    <w:basedOn w:val="NormaleTabelle"/>
    <w:uiPriority w:val="99"/>
    <w:tblPr>
      <w:tblStyleRowBandSize w:val="1"/>
      <w:tblStyleColBandSize w:val="1"/>
      <w:tblInd w:w="0" w:type="nil"/>
      <w:tblCellMar>
        <w:left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Gitternetztabelle1hell">
    <w:name w:val="Grid Table 1 Light"/>
    <w:basedOn w:val="NormaleTabelle"/>
    <w:uiPriority w:val="99"/>
    <w:tblPr>
      <w:tblStyleRowBandSize w:val="1"/>
      <w:tblStyleColBandSize w:val="1"/>
      <w:tblInd w:w="0" w:type="nil"/>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left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Ind w:w="0" w:type="nil"/>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left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NormaleTabelle"/>
    <w:uiPriority w:val="99"/>
    <w:tblPr>
      <w:tblStyleRowBandSize w:val="1"/>
      <w:tblStyleColBandSize w:val="1"/>
      <w:tblInd w:w="0" w:type="nil"/>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left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NormaleTabelle"/>
    <w:uiPriority w:val="99"/>
    <w:tblPr>
      <w:tblStyleRowBandSize w:val="1"/>
      <w:tblStyleColBandSize w:val="1"/>
      <w:tblInd w:w="0" w:type="nil"/>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left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NormaleTabelle"/>
    <w:uiPriority w:val="99"/>
    <w:tblPr>
      <w:tblStyleRowBandSize w:val="1"/>
      <w:tblStyleColBandSize w:val="1"/>
      <w:tblInd w:w="0" w:type="nil"/>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left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NormaleTabelle"/>
    <w:uiPriority w:val="99"/>
    <w:tblPr>
      <w:tblStyleRowBandSize w:val="1"/>
      <w:tblStyleColBandSize w:val="1"/>
      <w:tblInd w:w="0" w:type="nil"/>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left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NormaleTabelle"/>
    <w:uiPriority w:val="99"/>
    <w:tblPr>
      <w:tblStyleRowBandSize w:val="1"/>
      <w:tblStyleColBandSize w:val="1"/>
      <w:tblInd w:w="0" w:type="nil"/>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left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itternetztabelle2">
    <w:name w:val="Grid Table 2"/>
    <w:basedOn w:val="NormaleTabelle"/>
    <w:uiPriority w:val="99"/>
    <w:tblPr>
      <w:tblStyleRowBandSize w:val="1"/>
      <w:tblStyleColBandSize w:val="1"/>
      <w:tblInd w:w="0" w:type="nil"/>
      <w:tblBorders>
        <w:bottom w:val="single" w:sz="4" w:space="0" w:color="6A6A6A" w:themeColor="text1" w:themeTint="95"/>
        <w:insideH w:val="single" w:sz="4" w:space="0" w:color="6A6A6A" w:themeColor="text1" w:themeTint="95"/>
        <w:insideV w:val="single" w:sz="4" w:space="0" w:color="6A6A6A" w:themeColor="text1" w:themeTint="95"/>
      </w:tblBorders>
      <w:tblCellMar>
        <w:left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NormaleTabelle"/>
    <w:uiPriority w:val="99"/>
    <w:tblPr>
      <w:tblStyleRowBandSize w:val="1"/>
      <w:tblStyleColBandSize w:val="1"/>
      <w:tblInd w:w="0" w:type="nil"/>
      <w:tblBorders>
        <w:bottom w:val="single" w:sz="4" w:space="0" w:color="68A2D8" w:themeColor="accent1" w:themeTint="EA"/>
        <w:insideH w:val="single" w:sz="4" w:space="0" w:color="68A2D8" w:themeColor="accent1" w:themeTint="EA"/>
        <w:insideV w:val="single" w:sz="4" w:space="0" w:color="68A2D8" w:themeColor="accent1" w:themeTint="EA"/>
      </w:tblBorders>
      <w:tblCellMar>
        <w:left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basedOn w:val="NormaleTabelle"/>
    <w:uiPriority w:val="99"/>
    <w:tblPr>
      <w:tblStyleRowBandSize w:val="1"/>
      <w:tblStyleColBandSize w:val="1"/>
      <w:tblInd w:w="0" w:type="nil"/>
      <w:tblBorders>
        <w:bottom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NormaleTabelle"/>
    <w:uiPriority w:val="99"/>
    <w:tblPr>
      <w:tblStyleRowBandSize w:val="1"/>
      <w:tblStyleColBandSize w:val="1"/>
      <w:tblInd w:w="0" w:type="nil"/>
      <w:tblBorders>
        <w:bottom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NormaleTabelle"/>
    <w:uiPriority w:val="99"/>
    <w:tblPr>
      <w:tblStyleRowBandSize w:val="1"/>
      <w:tblStyleColBandSize w:val="1"/>
      <w:tblInd w:w="0" w:type="nil"/>
      <w:tblBorders>
        <w:bottom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NormaleTabelle"/>
    <w:uiPriority w:val="99"/>
    <w:tblPr>
      <w:tblStyleRowBandSize w:val="1"/>
      <w:tblStyleColBandSize w:val="1"/>
      <w:tblInd w:w="0" w:type="nil"/>
      <w:tblBorders>
        <w:bottom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basedOn w:val="NormaleTabelle"/>
    <w:uiPriority w:val="99"/>
    <w:tblPr>
      <w:tblStyleRowBandSize w:val="1"/>
      <w:tblStyleColBandSize w:val="1"/>
      <w:tblInd w:w="0" w:type="nil"/>
      <w:tblBorders>
        <w:bottom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3">
    <w:name w:val="Grid Table 3"/>
    <w:basedOn w:val="NormaleTabelle"/>
    <w:uiPriority w:val="99"/>
    <w:tblPr>
      <w:tblStyleRowBandSize w:val="1"/>
      <w:tblStyleColBandSize w:val="1"/>
      <w:tblInd w:w="0" w:type="nil"/>
      <w:tblBorders>
        <w:bottom w:val="single" w:sz="4" w:space="0" w:color="6A6A6A" w:themeColor="text1" w:themeTint="95"/>
        <w:insideH w:val="single" w:sz="4" w:space="0" w:color="6A6A6A" w:themeColor="text1" w:themeTint="95"/>
        <w:insideV w:val="single" w:sz="4" w:space="0" w:color="6A6A6A" w:themeColor="text1" w:themeTint="95"/>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NormaleTabelle"/>
    <w:uiPriority w:val="99"/>
    <w:tblPr>
      <w:tblStyleRowBandSize w:val="1"/>
      <w:tblStyleColBandSize w:val="1"/>
      <w:tblInd w:w="0" w:type="nil"/>
      <w:tblBorders>
        <w:bottom w:val="single" w:sz="4" w:space="0" w:color="68A2D8" w:themeColor="accent1" w:themeTint="EA"/>
        <w:insideH w:val="single" w:sz="4" w:space="0" w:color="68A2D8" w:themeColor="accent1" w:themeTint="EA"/>
        <w:insideV w:val="single" w:sz="4" w:space="0" w:color="68A2D8" w:themeColor="accent1" w:themeTint="EA"/>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basedOn w:val="NormaleTabelle"/>
    <w:uiPriority w:val="99"/>
    <w:tblPr>
      <w:tblStyleRowBandSize w:val="1"/>
      <w:tblStyleColBandSize w:val="1"/>
      <w:tblInd w:w="0" w:type="nil"/>
      <w:tblBorders>
        <w:bottom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NormaleTabelle"/>
    <w:uiPriority w:val="99"/>
    <w:tblPr>
      <w:tblStyleRowBandSize w:val="1"/>
      <w:tblStyleColBandSize w:val="1"/>
      <w:tblInd w:w="0" w:type="nil"/>
      <w:tblBorders>
        <w:bottom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NormaleTabelle"/>
    <w:uiPriority w:val="99"/>
    <w:tblPr>
      <w:tblStyleRowBandSize w:val="1"/>
      <w:tblStyleColBandSize w:val="1"/>
      <w:tblInd w:w="0" w:type="nil"/>
      <w:tblBorders>
        <w:bottom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NormaleTabelle"/>
    <w:uiPriority w:val="99"/>
    <w:tblPr>
      <w:tblStyleRowBandSize w:val="1"/>
      <w:tblStyleColBandSize w:val="1"/>
      <w:tblInd w:w="0" w:type="nil"/>
      <w:tblBorders>
        <w:bottom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basedOn w:val="NormaleTabelle"/>
    <w:uiPriority w:val="99"/>
    <w:tblPr>
      <w:tblStyleRowBandSize w:val="1"/>
      <w:tblStyleColBandSize w:val="1"/>
      <w:tblInd w:w="0" w:type="nil"/>
      <w:tblBorders>
        <w:bottom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4">
    <w:name w:val="Grid Table 4"/>
    <w:basedOn w:val="NormaleTabelle"/>
    <w:uiPriority w:val="59"/>
    <w:tblPr>
      <w:tblStyleRowBandSize w:val="1"/>
      <w:tblStyleColBandSize w:val="1"/>
      <w:tblInd w:w="0" w:type="nil"/>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left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NormaleTabelle"/>
    <w:uiPriority w:val="59"/>
    <w:tblPr>
      <w:tblStyleRowBandSize w:val="1"/>
      <w:tblStyleColBandSize w:val="1"/>
      <w:tblInd w:w="0" w:type="nil"/>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left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basedOn w:val="NormaleTabelle"/>
    <w:uiPriority w:val="59"/>
    <w:tblPr>
      <w:tblStyleRowBandSize w:val="1"/>
      <w:tblStyleColBandSize w:val="1"/>
      <w:tblInd w:w="0" w:type="nil"/>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left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NormaleTabelle"/>
    <w:uiPriority w:val="59"/>
    <w:tblPr>
      <w:tblStyleRowBandSize w:val="1"/>
      <w:tblStyleColBandSize w:val="1"/>
      <w:tblInd w:w="0" w:type="nil"/>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left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NormaleTabelle"/>
    <w:uiPriority w:val="59"/>
    <w:tblPr>
      <w:tblStyleRowBandSize w:val="1"/>
      <w:tblStyleColBandSize w:val="1"/>
      <w:tblInd w:w="0" w:type="nil"/>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left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NormaleTabelle"/>
    <w:uiPriority w:val="59"/>
    <w:tblPr>
      <w:tblStyleRowBandSize w:val="1"/>
      <w:tblStyleColBandSize w:val="1"/>
      <w:tblInd w:w="0" w:type="nil"/>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left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basedOn w:val="NormaleTabelle"/>
    <w:uiPriority w:val="59"/>
    <w:tblPr>
      <w:tblStyleRowBandSize w:val="1"/>
      <w:tblStyleColBandSize w:val="1"/>
      <w:tblInd w:w="0" w:type="nil"/>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left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5dunkel">
    <w:name w:val="Grid Table 5 Dark"/>
    <w:basedOn w:val="NormaleTabelle"/>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NormaleTabelle"/>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NormaleTabelle"/>
    <w:uiPriority w:val="99"/>
    <w:tblPr>
      <w:tblStyleRowBandSize w:val="1"/>
      <w:tblStyleColBandSize w:val="1"/>
      <w:tblInd w:w="0" w:type="nil"/>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left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tblPr>
      <w:tblStyleRowBandSize w:val="1"/>
      <w:tblStyleColBandSize w:val="1"/>
      <w:tblInd w:w="0" w:type="nil"/>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Ind w:w="0" w:type="nil"/>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left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Ind w:w="0" w:type="nil"/>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Ind w:w="0" w:type="nil"/>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Ind w:w="0" w:type="nil"/>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Ind w:w="0" w:type="nil"/>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Ind w:w="0" w:type="nil"/>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Gitternetztabelle7farbig">
    <w:name w:val="Grid Table 7 Colorful"/>
    <w:basedOn w:val="NormaleTabelle"/>
    <w:uiPriority w:val="99"/>
    <w:tblPr>
      <w:tblStyleRowBandSize w:val="1"/>
      <w:tblStyleColBandSize w:val="1"/>
      <w:tblInd w:w="0" w:type="nil"/>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0" w:type="dxa"/>
        <w:right w:w="0" w:type="dxa"/>
      </w:tblCellMar>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Ind w:w="0" w:type="nil"/>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left w:w="0" w:type="dxa"/>
        <w:right w:w="0" w:type="dxa"/>
      </w:tblCellMar>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Ind w:w="0" w:type="nil"/>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left w:w="0" w:type="dxa"/>
        <w:right w:w="0" w:type="dxa"/>
      </w:tblCellMar>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Ind w:w="0" w:type="nil"/>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left w:w="0" w:type="dxa"/>
        <w:right w:w="0" w:type="dxa"/>
      </w:tblCellMar>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Ind w:w="0" w:type="nil"/>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left w:w="0" w:type="dxa"/>
        <w:right w:w="0" w:type="dxa"/>
      </w:tblCellMar>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Ind w:w="0" w:type="nil"/>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left w:w="0" w:type="dxa"/>
        <w:right w:w="0" w:type="dxa"/>
      </w:tblCellMar>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Ind w:w="0" w:type="nil"/>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left w:w="0" w:type="dxa"/>
        <w:right w:w="0" w:type="dxa"/>
      </w:tblCellMar>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entabelle1hell">
    <w:name w:val="List Table 1 Light"/>
    <w:basedOn w:val="NormaleTabelle"/>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NormaleTabelle"/>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NormaleTabelle"/>
    <w:uiPriority w:val="99"/>
    <w:tblPr>
      <w:tblStyleRowBandSize w:val="1"/>
      <w:tblStyleColBandSize w:val="1"/>
      <w:tblInd w:w="0" w:type="nil"/>
      <w:tblCellMar>
        <w:left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tblPr>
      <w:tblStyleRowBandSize w:val="1"/>
      <w:tblStyleColBandSize w:val="1"/>
      <w:tblInd w:w="0" w:type="nil"/>
      <w:tblBorders>
        <w:top w:val="single" w:sz="4" w:space="0" w:color="6F6F6F" w:themeColor="text1" w:themeTint="90"/>
        <w:bottom w:val="single" w:sz="4" w:space="0" w:color="6F6F6F" w:themeColor="text1" w:themeTint="90"/>
        <w:insideH w:val="single" w:sz="4" w:space="0" w:color="6F6F6F" w:themeColor="text1" w:themeTint="90"/>
      </w:tblBorders>
      <w:tblCellMar>
        <w:left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NormaleTabelle"/>
    <w:uiPriority w:val="99"/>
    <w:tblPr>
      <w:tblStyleRowBandSize w:val="1"/>
      <w:tblStyleColBandSize w:val="1"/>
      <w:tblInd w:w="0" w:type="nil"/>
      <w:tblBorders>
        <w:top w:val="single" w:sz="4" w:space="0" w:color="A2C6E7" w:themeColor="accent1" w:themeTint="90"/>
        <w:bottom w:val="single" w:sz="4" w:space="0" w:color="A2C6E7" w:themeColor="accent1" w:themeTint="90"/>
        <w:insideH w:val="single" w:sz="4" w:space="0" w:color="A2C6E7" w:themeColor="accent1" w:themeTint="90"/>
      </w:tblBorders>
      <w:tblCellMar>
        <w:left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basedOn w:val="NormaleTabelle"/>
    <w:uiPriority w:val="99"/>
    <w:tblPr>
      <w:tblStyleRowBandSize w:val="1"/>
      <w:tblStyleColBandSize w:val="1"/>
      <w:tblInd w:w="0" w:type="nil"/>
      <w:tblBorders>
        <w:top w:val="single" w:sz="4" w:space="0" w:color="F4B58A" w:themeColor="accent2" w:themeTint="90"/>
        <w:bottom w:val="single" w:sz="4" w:space="0" w:color="F4B58A" w:themeColor="accent2" w:themeTint="90"/>
        <w:insideH w:val="single" w:sz="4" w:space="0" w:color="F4B58A" w:themeColor="accent2" w:themeTint="90"/>
      </w:tblBorders>
      <w:tblCellMar>
        <w:left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NormaleTabelle"/>
    <w:uiPriority w:val="99"/>
    <w:tblPr>
      <w:tblStyleRowBandSize w:val="1"/>
      <w:tblStyleColBandSize w:val="1"/>
      <w:tblInd w:w="0" w:type="nil"/>
      <w:tblBorders>
        <w:top w:val="single" w:sz="4" w:space="0" w:color="CCCCCC" w:themeColor="accent3" w:themeTint="90"/>
        <w:bottom w:val="single" w:sz="4" w:space="0" w:color="CCCCCC" w:themeColor="accent3" w:themeTint="90"/>
        <w:insideH w:val="single" w:sz="4" w:space="0" w:color="CCCCCC" w:themeColor="accent3" w:themeTint="90"/>
      </w:tblBorders>
      <w:tblCellMar>
        <w:left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NormaleTabelle"/>
    <w:uiPriority w:val="99"/>
    <w:tblPr>
      <w:tblStyleRowBandSize w:val="1"/>
      <w:tblStyleColBandSize w:val="1"/>
      <w:tblInd w:w="0" w:type="nil"/>
      <w:tblBorders>
        <w:top w:val="single" w:sz="4" w:space="0" w:color="FFDB6F" w:themeColor="accent4" w:themeTint="90"/>
        <w:bottom w:val="single" w:sz="4" w:space="0" w:color="FFDB6F" w:themeColor="accent4" w:themeTint="90"/>
        <w:insideH w:val="single" w:sz="4" w:space="0" w:color="FFDB6F" w:themeColor="accent4" w:themeTint="90"/>
      </w:tblBorders>
      <w:tblCellMar>
        <w:left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NormaleTabelle"/>
    <w:uiPriority w:val="99"/>
    <w:tblPr>
      <w:tblStyleRowBandSize w:val="1"/>
      <w:tblStyleColBandSize w:val="1"/>
      <w:tblInd w:w="0" w:type="nil"/>
      <w:tblBorders>
        <w:top w:val="single" w:sz="4" w:space="0" w:color="95AFDD" w:themeColor="accent5" w:themeTint="90"/>
        <w:bottom w:val="single" w:sz="4" w:space="0" w:color="95AFDD" w:themeColor="accent5" w:themeTint="90"/>
        <w:insideH w:val="single" w:sz="4" w:space="0" w:color="95AFDD" w:themeColor="accent5" w:themeTint="90"/>
      </w:tblBorders>
      <w:tblCellMar>
        <w:left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basedOn w:val="NormaleTabelle"/>
    <w:uiPriority w:val="99"/>
    <w:tblPr>
      <w:tblStyleRowBandSize w:val="1"/>
      <w:tblStyleColBandSize w:val="1"/>
      <w:tblInd w:w="0" w:type="nil"/>
      <w:tblBorders>
        <w:top w:val="single" w:sz="4" w:space="0" w:color="ADD394" w:themeColor="accent6" w:themeTint="90"/>
        <w:bottom w:val="single" w:sz="4" w:space="0" w:color="ADD394" w:themeColor="accent6" w:themeTint="90"/>
        <w:insideH w:val="single" w:sz="4" w:space="0" w:color="ADD394" w:themeColor="accent6" w:themeTint="90"/>
      </w:tblBorders>
      <w:tblCellMar>
        <w:left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3">
    <w:name w:val="List Table 3"/>
    <w:basedOn w:val="NormaleTabelle"/>
    <w:uiPriority w:val="99"/>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left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left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tblPr>
      <w:tblStyleRowBandSize w:val="1"/>
      <w:tblStyleColBandSize w:val="1"/>
      <w:tblInd w:w="0" w:type="nil"/>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left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NormaleTabelle"/>
    <w:uiPriority w:val="99"/>
    <w:tblPr>
      <w:tblStyleRowBandSize w:val="1"/>
      <w:tblStyleColBandSize w:val="1"/>
      <w:tblInd w:w="0" w:type="nil"/>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left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NormaleTabelle"/>
    <w:uiPriority w:val="99"/>
    <w:tblPr>
      <w:tblStyleRowBandSize w:val="1"/>
      <w:tblStyleColBandSize w:val="1"/>
      <w:tblInd w:w="0" w:type="nil"/>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left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NormaleTabelle"/>
    <w:uiPriority w:val="99"/>
    <w:tblPr>
      <w:tblStyleRowBandSize w:val="1"/>
      <w:tblStyleColBandSize w:val="1"/>
      <w:tblInd w:w="0" w:type="nil"/>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left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NormaleTabelle"/>
    <w:uiPriority w:val="99"/>
    <w:tblPr>
      <w:tblStyleRowBandSize w:val="1"/>
      <w:tblStyleColBandSize w:val="1"/>
      <w:tblInd w:w="0" w:type="nil"/>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left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entabelle4">
    <w:name w:val="List Table 4"/>
    <w:basedOn w:val="NormaleTabelle"/>
    <w:uiPriority w:val="99"/>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left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NormaleTabelle"/>
    <w:uiPriority w:val="99"/>
    <w:tblPr>
      <w:tblStyleRowBandSize w:val="1"/>
      <w:tblStyleColBandSize w:val="1"/>
      <w:tblInd w:w="0" w:type="nil"/>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left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basedOn w:val="NormaleTabelle"/>
    <w:uiPriority w:val="99"/>
    <w:tblPr>
      <w:tblStyleRowBandSize w:val="1"/>
      <w:tblStyleColBandSize w:val="1"/>
      <w:tblInd w:w="0" w:type="nil"/>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left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NormaleTabelle"/>
    <w:uiPriority w:val="99"/>
    <w:tblPr>
      <w:tblStyleRowBandSize w:val="1"/>
      <w:tblStyleColBandSize w:val="1"/>
      <w:tblInd w:w="0" w:type="nil"/>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left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NormaleTabelle"/>
    <w:uiPriority w:val="99"/>
    <w:tblPr>
      <w:tblStyleRowBandSize w:val="1"/>
      <w:tblStyleColBandSize w:val="1"/>
      <w:tblInd w:w="0" w:type="nil"/>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left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NormaleTabelle"/>
    <w:uiPriority w:val="99"/>
    <w:tblPr>
      <w:tblStyleRowBandSize w:val="1"/>
      <w:tblStyleColBandSize w:val="1"/>
      <w:tblInd w:w="0" w:type="nil"/>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left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basedOn w:val="NormaleTabelle"/>
    <w:uiPriority w:val="99"/>
    <w:tblPr>
      <w:tblStyleRowBandSize w:val="1"/>
      <w:tblStyleColBandSize w:val="1"/>
      <w:tblInd w:w="0" w:type="nil"/>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left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5dunkel">
    <w:name w:val="List Table 5 Dark"/>
    <w:basedOn w:val="NormaleTabelle"/>
    <w:uiPriority w:val="99"/>
    <w:tblPr>
      <w:tblStyleRowBandSize w:val="1"/>
      <w:tblStyleColBandSize w:val="1"/>
      <w:tblInd w:w="0" w:type="nil"/>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left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Ind w:w="0" w:type="nil"/>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left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NormaleTabelle"/>
    <w:uiPriority w:val="99"/>
    <w:tblPr>
      <w:tblStyleRowBandSize w:val="1"/>
      <w:tblStyleColBandSize w:val="1"/>
      <w:tblInd w:w="0" w:type="nil"/>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left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Ind w:w="0" w:type="nil"/>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left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Ind w:w="0" w:type="nil"/>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left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Ind w:w="0" w:type="nil"/>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left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NormaleTabelle"/>
    <w:uiPriority w:val="99"/>
    <w:tblPr>
      <w:tblStyleRowBandSize w:val="1"/>
      <w:tblStyleColBandSize w:val="1"/>
      <w:tblInd w:w="0" w:type="nil"/>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left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tblPr>
      <w:tblStyleRowBandSize w:val="1"/>
      <w:tblStyleColBandSize w:val="1"/>
      <w:tblInd w:w="0" w:type="nil"/>
      <w:tblBorders>
        <w:top w:val="single" w:sz="4" w:space="0" w:color="7F7F7F" w:themeColor="text1" w:themeTint="80"/>
        <w:bottom w:val="single" w:sz="4" w:space="0" w:color="7F7F7F" w:themeColor="text1" w:themeTint="80"/>
      </w:tblBorders>
      <w:tblCellMar>
        <w:left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Ind w:w="0" w:type="nil"/>
      <w:tblBorders>
        <w:top w:val="single" w:sz="4" w:space="0" w:color="5B9BD5" w:themeColor="accent1"/>
        <w:bottom w:val="single" w:sz="4" w:space="0" w:color="5B9BD5" w:themeColor="accent1"/>
      </w:tblBorders>
      <w:tblCellMar>
        <w:left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Ind w:w="0" w:type="nil"/>
      <w:tblBorders>
        <w:top w:val="single" w:sz="4" w:space="0" w:color="F4B184" w:themeColor="accent2" w:themeTint="97"/>
        <w:bottom w:val="single" w:sz="4" w:space="0" w:color="F4B184" w:themeColor="accent2" w:themeTint="97"/>
      </w:tblBorders>
      <w:tblCellMar>
        <w:left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Ind w:w="0" w:type="nil"/>
      <w:tblBorders>
        <w:top w:val="single" w:sz="4" w:space="0" w:color="C9C9C9" w:themeColor="accent3" w:themeTint="98"/>
        <w:bottom w:val="single" w:sz="4" w:space="0" w:color="C9C9C9" w:themeColor="accent3" w:themeTint="98"/>
      </w:tblBorders>
      <w:tblCellMar>
        <w:left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Ind w:w="0" w:type="nil"/>
      <w:tblBorders>
        <w:top w:val="single" w:sz="4" w:space="0" w:color="FFD865" w:themeColor="accent4" w:themeTint="9A"/>
        <w:bottom w:val="single" w:sz="4" w:space="0" w:color="FFD865" w:themeColor="accent4" w:themeTint="9A"/>
      </w:tblBorders>
      <w:tblCellMar>
        <w:left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Ind w:w="0" w:type="nil"/>
      <w:tblBorders>
        <w:top w:val="single" w:sz="4" w:space="0" w:color="8DA9DB" w:themeColor="accent5" w:themeTint="9A"/>
        <w:bottom w:val="single" w:sz="4" w:space="0" w:color="8DA9DB" w:themeColor="accent5" w:themeTint="9A"/>
      </w:tblBorders>
      <w:tblCellMar>
        <w:left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Ind w:w="0" w:type="nil"/>
      <w:tblBorders>
        <w:top w:val="single" w:sz="4" w:space="0" w:color="A9D08E" w:themeColor="accent6" w:themeTint="98"/>
        <w:bottom w:val="single" w:sz="4" w:space="0" w:color="A9D08E" w:themeColor="accent6" w:themeTint="98"/>
      </w:tblBorders>
      <w:tblCellMar>
        <w:left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Ind w:w="0" w:type="nil"/>
      <w:tblBorders>
        <w:right w:val="single" w:sz="4" w:space="0" w:color="7F7F7F" w:themeColor="text1" w:themeTint="80"/>
      </w:tblBorders>
      <w:tblCellMar>
        <w:left w:w="0" w:type="dxa"/>
        <w:right w:w="0" w:type="dxa"/>
      </w:tblCellMar>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Ind w:w="0" w:type="nil"/>
      <w:tblBorders>
        <w:right w:val="single" w:sz="4" w:space="0" w:color="5B9BD5" w:themeColor="accent1"/>
      </w:tblBorders>
      <w:tblCellMar>
        <w:left w:w="0" w:type="dxa"/>
        <w:right w:w="0" w:type="dxa"/>
      </w:tblCellMar>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Ind w:w="0" w:type="nil"/>
      <w:tblBorders>
        <w:right w:val="single" w:sz="4" w:space="0" w:color="F4B184" w:themeColor="accent2" w:themeTint="97"/>
      </w:tblBorders>
      <w:tblCellMar>
        <w:left w:w="0" w:type="dxa"/>
        <w:right w:w="0" w:type="dxa"/>
      </w:tblCellMar>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Ind w:w="0" w:type="nil"/>
      <w:tblBorders>
        <w:right w:val="single" w:sz="4" w:space="0" w:color="C9C9C9" w:themeColor="accent3" w:themeTint="98"/>
      </w:tblBorders>
      <w:tblCellMar>
        <w:left w:w="0" w:type="dxa"/>
        <w:right w:w="0" w:type="dxa"/>
      </w:tblCellMar>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Ind w:w="0" w:type="nil"/>
      <w:tblBorders>
        <w:right w:val="single" w:sz="4" w:space="0" w:color="FFD865" w:themeColor="accent4" w:themeTint="9A"/>
      </w:tblBorders>
      <w:tblCellMar>
        <w:left w:w="0" w:type="dxa"/>
        <w:right w:w="0" w:type="dxa"/>
      </w:tblCellMar>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Ind w:w="0" w:type="nil"/>
      <w:tblBorders>
        <w:right w:val="single" w:sz="4" w:space="0" w:color="8DA9DB" w:themeColor="accent5" w:themeTint="9A"/>
      </w:tblBorders>
      <w:tblCellMar>
        <w:left w:w="0" w:type="dxa"/>
        <w:right w:w="0" w:type="dxa"/>
      </w:tblCellMar>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Ind w:w="0" w:type="nil"/>
      <w:tblBorders>
        <w:right w:val="single" w:sz="4" w:space="0" w:color="A9D08E" w:themeColor="accent6" w:themeTint="98"/>
      </w:tblBorders>
      <w:tblCellMar>
        <w:left w:w="0" w:type="dxa"/>
        <w:right w:w="0" w:type="dxa"/>
      </w:tblCellMar>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NormaleTabelle"/>
    <w:uiPriority w:val="99"/>
    <w:tblPr>
      <w:tblStyleRowBandSize w:val="1"/>
      <w:tblStyleColBandSize w:val="1"/>
      <w:tblInd w:w="0" w:type="nil"/>
      <w:tblCellMar>
        <w:left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basedOn w:val="NormaleTabelle"/>
    <w:uiPriority w:val="99"/>
    <w:tblPr>
      <w:tblStyleRowBandSize w:val="1"/>
      <w:tblStyleColBandSize w:val="1"/>
      <w:tblInd w:w="0" w:type="nil"/>
      <w:tblCellMar>
        <w:left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basedOn w:val="NormaleTabelle"/>
    <w:uiPriority w:val="99"/>
    <w:tblPr>
      <w:tblStyleRowBandSize w:val="1"/>
      <w:tblStyleColBandSize w:val="1"/>
      <w:tblInd w:w="0" w:type="nil"/>
      <w:tblCellMar>
        <w:left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NormaleTabelle"/>
    <w:uiPriority w:val="99"/>
    <w:tblPr>
      <w:tblStyleRowBandSize w:val="1"/>
      <w:tblStyleColBandSize w:val="1"/>
      <w:tblInd w:w="0" w:type="nil"/>
      <w:tblCellMar>
        <w:left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NormaleTabelle"/>
    <w:uiPriority w:val="99"/>
    <w:tblPr>
      <w:tblStyleRowBandSize w:val="1"/>
      <w:tblStyleColBandSize w:val="1"/>
      <w:tblInd w:w="0" w:type="nil"/>
      <w:tblCellMar>
        <w:left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NormaleTabelle"/>
    <w:uiPriority w:val="99"/>
    <w:tblPr>
      <w:tblStyleRowBandSize w:val="1"/>
      <w:tblStyleColBandSize w:val="1"/>
      <w:tblInd w:w="0" w:type="nil"/>
      <w:tblCellMar>
        <w:left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basedOn w:val="NormaleTabelle"/>
    <w:uiPriority w:val="99"/>
    <w:tblPr>
      <w:tblStyleRowBandSize w:val="1"/>
      <w:tblStyleColBandSize w:val="1"/>
      <w:tblInd w:w="0" w:type="nil"/>
      <w:tblCellMar>
        <w:left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NormaleTabelle"/>
    <w:uiPriority w:val="99"/>
    <w:tblPr>
      <w:tblStyleRowBandSize w:val="1"/>
      <w:tblStyleColBandSize w:val="1"/>
      <w:tblInd w:w="0" w:type="nil"/>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left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basedOn w:val="NormaleTabelle"/>
    <w:uiPriority w:val="99"/>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basedOn w:val="NormaleTabelle"/>
    <w:uiPriority w:val="99"/>
    <w:tblPr>
      <w:tblStyleRowBandSize w:val="1"/>
      <w:tblStyleColBandSize w:val="1"/>
      <w:tblInd w:w="0" w:type="nil"/>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left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NormaleTabelle"/>
    <w:uiPriority w:val="99"/>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left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NormaleTabelle"/>
    <w:uiPriority w:val="99"/>
    <w:tblPr>
      <w:tblStyleRowBandSize w:val="1"/>
      <w:tblStyleColBandSize w:val="1"/>
      <w:tblInd w:w="0" w:type="nil"/>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left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NormaleTabelle"/>
    <w:uiPriority w:val="99"/>
    <w:tblPr>
      <w:tblStyleRowBandSize w:val="1"/>
      <w:tblStyleColBandSize w:val="1"/>
      <w:tblInd w:w="0" w:type="nil"/>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left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basedOn w:val="NormaleTabelle"/>
    <w:uiPriority w:val="99"/>
    <w:tblPr>
      <w:tblStyleRowBandSize w:val="1"/>
      <w:tblStyleColBandSize w:val="1"/>
      <w:tblInd w:w="0" w:type="nil"/>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left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NormaleTabelle"/>
    <w:uiPriority w:val="99"/>
    <w:tblPr>
      <w:tblStyleRowBandSize w:val="1"/>
      <w:tblStyleColBandSize w:val="1"/>
      <w:tblInd w:w="0" w:type="nil"/>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left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Ind w:w="0" w:type="nil"/>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left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NormaleTabelle"/>
    <w:uiPriority w:val="99"/>
    <w:tblPr>
      <w:tblStyleRowBandSize w:val="1"/>
      <w:tblStyleColBandSize w:val="1"/>
      <w:tblInd w:w="0" w:type="nil"/>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left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NormaleTabelle"/>
    <w:uiPriority w:val="99"/>
    <w:tblPr>
      <w:tblStyleRowBandSize w:val="1"/>
      <w:tblStyleColBandSize w:val="1"/>
      <w:tblInd w:w="0" w:type="nil"/>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left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NormaleTabelle"/>
    <w:uiPriority w:val="99"/>
    <w:tblPr>
      <w:tblStyleRowBandSize w:val="1"/>
      <w:tblStyleColBandSize w:val="1"/>
      <w:tblInd w:w="0" w:type="nil"/>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left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NormaleTabelle"/>
    <w:uiPriority w:val="99"/>
    <w:tblPr>
      <w:tblStyleRowBandSize w:val="1"/>
      <w:tblStyleColBandSize w:val="1"/>
      <w:tblInd w:w="0" w:type="nil"/>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left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NormaleTabelle"/>
    <w:uiPriority w:val="99"/>
    <w:tblPr>
      <w:tblStyleRowBandSize w:val="1"/>
      <w:tblStyleColBandSize w:val="1"/>
      <w:tblInd w:w="0" w:type="nil"/>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left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infacheTabelle4">
    <w:name w:val="Plain Table 4"/>
    <w:basedOn w:val="NormaleTabelle"/>
    <w:uiPriority w:val="44"/>
    <w:rPr>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24FF3D771BCD344B1D6D8F2D5F0DCED" ma:contentTypeVersion="15" ma:contentTypeDescription="Ein neues Dokument erstellen." ma:contentTypeScope="" ma:versionID="88cdfefa7b656b3158e5294b2b86de8c">
  <xsd:schema xmlns:xsd="http://www.w3.org/2001/XMLSchema" xmlns:xs="http://www.w3.org/2001/XMLSchema" xmlns:p="http://schemas.microsoft.com/office/2006/metadata/properties" xmlns:ns2="b2a71f8a-9901-4c8a-9f46-18567da102d2" xmlns:ns3="b93e9dd6-699e-4219-af5b-b66d73df8c91" targetNamespace="http://schemas.microsoft.com/office/2006/metadata/properties" ma:root="true" ma:fieldsID="640a9287667787bf2848a2ac87caf280" ns2:_="" ns3:_="">
    <xsd:import namespace="b2a71f8a-9901-4c8a-9f46-18567da102d2"/>
    <xsd:import namespace="b93e9dd6-699e-4219-af5b-b66d73df8c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a71f8a-9901-4c8a-9f46-18567da102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7c880037-8306-4d34-9a7c-4fa698df1335"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3e9dd6-699e-4219-af5b-b66d73df8c9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2a731c12-0f8e-4d8d-8709-44820dd4ffcd}" ma:internalName="TaxCatchAll" ma:showField="CatchAllData" ma:web="b93e9dd6-699e-4219-af5b-b66d73df8c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93e9dd6-699e-4219-af5b-b66d73df8c91" xsi:nil="true"/>
    <lcf76f155ced4ddcb4097134ff3c332f xmlns="b2a71f8a-9901-4c8a-9f46-18567da102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2DBF1F-8622-44A9-B250-DAAAA0E5C499}">
  <ds:schemaRefs>
    <ds:schemaRef ds:uri="http://schemas.microsoft.com/sharepoint/v3/contenttype/forms"/>
  </ds:schemaRefs>
</ds:datastoreItem>
</file>

<file path=customXml/itemProps2.xml><?xml version="1.0" encoding="utf-8"?>
<ds:datastoreItem xmlns:ds="http://schemas.openxmlformats.org/officeDocument/2006/customXml" ds:itemID="{81E7D5A2-DDED-41CE-95C5-32B3757C5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a71f8a-9901-4c8a-9f46-18567da102d2"/>
    <ds:schemaRef ds:uri="b93e9dd6-699e-4219-af5b-b66d73df8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D51D8-B9EA-442A-B12F-ED64C3B1D816}">
  <ds:schemaRefs>
    <ds:schemaRef ds:uri="http://schemas.openxmlformats.org/officeDocument/2006/bibliography"/>
  </ds:schemaRefs>
</ds:datastoreItem>
</file>

<file path=customXml/itemProps4.xml><?xml version="1.0" encoding="utf-8"?>
<ds:datastoreItem xmlns:ds="http://schemas.openxmlformats.org/officeDocument/2006/customXml" ds:itemID="{31B04107-6485-4DCE-B108-A452BBEC7551}">
  <ds:schemaRefs>
    <ds:schemaRef ds:uri="http://schemas.microsoft.com/office/2006/metadata/properties"/>
    <ds:schemaRef ds:uri="http://schemas.microsoft.com/office/infopath/2007/PartnerControls"/>
    <ds:schemaRef ds:uri="b93e9dd6-699e-4219-af5b-b66d73df8c91"/>
    <ds:schemaRef ds:uri="b2a71f8a-9901-4c8a-9f46-18567da102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1402</Words>
  <Characters>8833</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Muster-Formulierungen_für_Umwelt-Paragraphen</vt:lpstr>
    </vt:vector>
  </TitlesOfParts>
  <Company>Difu</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Muster-Formulierungen_für_Umwelt-Paragraphen</dc:title>
  <dc:subject/>
  <dc:creator>Niederwipper</dc:creator>
  <dc:description/>
  <cp:lastModifiedBy>Susanne Müller</cp:lastModifiedBy>
  <cp:revision>5</cp:revision>
  <dcterms:created xsi:type="dcterms:W3CDTF">2026-04-14T09:14:00Z</dcterms:created>
  <dcterms:modified xsi:type="dcterms:W3CDTF">2026-04-14T09:54:00Z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0x010100A24FF3D771BCD344B1D6D8F2D5F0DCED</vt:lpwstr>
  </property>
  <property fmtid="{D5CDD505-2E9C-101B-9397-08002B2CF9AE}" pid="3" name="MediaServiceImageTags">
    <vt:lpwstr/>
  </property>
  <property fmtid="{D5CDD505-2E9C-101B-9397-08002B2CF9AE}" pid="4" name="SiteCollectionTag">
    <vt:lpwstr>4;#KB5|a09c84fc-6e41-4b50-a408-c84a7ec81051</vt:lpwstr>
  </property>
  <property fmtid="{D5CDD505-2E9C-101B-9397-08002B2CF9AE}" pid="5" name="docLang">
    <vt:lpwstr>de</vt:lpwstr>
  </property>
</Properties>
</file>