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0FEDF" w14:textId="77777777" w:rsidR="007F4BE8" w:rsidRDefault="007F4BE8" w:rsidP="007F4BE8">
      <w:pPr>
        <w:pStyle w:val="berschrift1"/>
      </w:pPr>
      <w:r>
        <w:t xml:space="preserve">Gründe für den Einsatzeiner städtebaulichen Sanierung als Instrument für Klimaschutz und bessere energetische Beschaffenheit </w:t>
      </w:r>
    </w:p>
    <w:p w14:paraId="1FCE8588" w14:textId="77777777" w:rsidR="007F4BE8" w:rsidRDefault="007F4BE8" w:rsidP="007F4BE8"/>
    <w:p w14:paraId="50E5880C" w14:textId="77777777" w:rsidR="007F4BE8" w:rsidRDefault="007F4BE8" w:rsidP="007F4BE8">
      <w:pPr>
        <w:pBdr>
          <w:top w:val="single" w:sz="4" w:space="1" w:color="auto"/>
          <w:left w:val="single" w:sz="4" w:space="4" w:color="auto"/>
          <w:bottom w:val="single" w:sz="4" w:space="1" w:color="auto"/>
          <w:right w:val="single" w:sz="4" w:space="4" w:color="auto"/>
        </w:pBdr>
      </w:pPr>
      <w:r>
        <w:t xml:space="preserve">Die folgende Erläuterung ist in wesentlichen Teilen dem </w:t>
      </w:r>
      <w:hyperlink r:id="rId12" w:history="1">
        <w:r w:rsidRPr="005F1F08">
          <w:rPr>
            <w:rStyle w:val="Hyperlink"/>
          </w:rPr>
          <w:t>Rechtsgutachten</w:t>
        </w:r>
      </w:hyperlink>
      <w:r>
        <w:t xml:space="preserve"> von Gaßner, Groth, </w:t>
      </w:r>
      <w:proofErr w:type="spellStart"/>
      <w:r>
        <w:t>Siederer</w:t>
      </w:r>
      <w:proofErr w:type="spellEnd"/>
      <w:r>
        <w:t xml:space="preserve"> &amp; Coll. (2023) im Auftrag der Stadt Münster entnommen.</w:t>
      </w:r>
    </w:p>
    <w:p w14:paraId="10A125CE" w14:textId="77777777" w:rsidR="007F4BE8" w:rsidRPr="002B1FFB" w:rsidRDefault="007F4BE8" w:rsidP="007F4BE8">
      <w:pPr>
        <w:pStyle w:val="berschrift2"/>
      </w:pPr>
      <w:r w:rsidRPr="002B1FFB">
        <w:t>Grundlagenermittlung zur Feststellung eines städtebaulichen Missstandes</w:t>
      </w:r>
    </w:p>
    <w:p w14:paraId="11340377" w14:textId="77777777" w:rsidR="007F4BE8" w:rsidRDefault="007F4BE8" w:rsidP="007F4BE8">
      <w:r>
        <w:t xml:space="preserve">Die Notwendigkeit für eine Sanierung besteht aufgrund städtebaulicher Missstände </w:t>
      </w:r>
      <w:r w:rsidRPr="00A7067F">
        <w:t>nach § 136 Absatz 2 BauGB</w:t>
      </w:r>
      <w:r>
        <w:t xml:space="preserve">. Diese können </w:t>
      </w:r>
      <w:proofErr w:type="gramStart"/>
      <w:r>
        <w:t>aus folgenden</w:t>
      </w:r>
      <w:proofErr w:type="gramEnd"/>
      <w:r>
        <w:t xml:space="preserve"> Gründen vorliegen: </w:t>
      </w:r>
    </w:p>
    <w:p w14:paraId="1375A57B" w14:textId="77777777" w:rsidR="007F4BE8" w:rsidRDefault="007F4BE8" w:rsidP="007F4BE8">
      <w:pPr>
        <w:pStyle w:val="Listenabsatz"/>
        <w:numPr>
          <w:ilvl w:val="0"/>
          <w:numId w:val="49"/>
        </w:numPr>
      </w:pPr>
      <w:r w:rsidRPr="00DC4DFD">
        <w:rPr>
          <w:b/>
          <w:bCs/>
        </w:rPr>
        <w:t>Substanzschwäche:</w:t>
      </w:r>
      <w:r>
        <w:t xml:space="preserve"> Hier ist die Bewertung der baulichen Beschaffenheit der Gebäude und im Besonderen die energetische Beschaffenheit (Gebäudedämmung sowie sommerlicher Wärmeschutz) und die Gesamtenergieeffizienz der vorhandenen Bebauung und der Versorgungseinrichtungen des Gebiets (Wie wird das Gebiet mit Energie versorgt?) erforderlich. Hierbei gelten Standards des Gebäudeenergiegesetzes (GEG) (letzte Fassung gültig seit 1. Januar 2024) als Bewertungsgrundlage. Im GEG sind </w:t>
      </w:r>
      <w:r w:rsidRPr="00A7067F">
        <w:t xml:space="preserve">(Stand: Mai 2025) </w:t>
      </w:r>
      <w:r>
        <w:t xml:space="preserve">folgende energetische Nachrüstungen für Bestandsgebäude festgelegt: </w:t>
      </w:r>
    </w:p>
    <w:p w14:paraId="235A0A78" w14:textId="77777777" w:rsidR="007F4BE8" w:rsidRDefault="007F4BE8" w:rsidP="007F4BE8">
      <w:pPr>
        <w:pStyle w:val="Listenabsatz"/>
        <w:numPr>
          <w:ilvl w:val="2"/>
          <w:numId w:val="49"/>
        </w:numPr>
        <w:ind w:left="1080"/>
      </w:pPr>
      <w:r>
        <w:t xml:space="preserve">Austauschpflicht von Heizkesseln, die älter als 30 Jahre sind, sofern diese weder Brennwert- noch Niedertemperaturkessel sind und sofern diese nicht ein </w:t>
      </w:r>
      <w:proofErr w:type="spellStart"/>
      <w:r>
        <w:t>Ein</w:t>
      </w:r>
      <w:proofErr w:type="spellEnd"/>
      <w:r>
        <w:t xml:space="preserve">- oder Zweifamilienhaus mit Wärme versorgen, das bereits vor dem Jahr 2002 von den Eigentümern und Eigentümerinnen selbst bewohnt wurde. </w:t>
      </w:r>
    </w:p>
    <w:p w14:paraId="50506C91" w14:textId="77777777" w:rsidR="007F4BE8" w:rsidRDefault="007F4BE8" w:rsidP="007F4BE8">
      <w:pPr>
        <w:pStyle w:val="Listenabsatz"/>
        <w:numPr>
          <w:ilvl w:val="2"/>
          <w:numId w:val="49"/>
        </w:numPr>
        <w:ind w:left="1080"/>
      </w:pPr>
      <w:r>
        <w:t xml:space="preserve">Heizungs- und Warmwasserleitungen in unbeheizten Bereichen müssen gedämmt werden. </w:t>
      </w:r>
    </w:p>
    <w:p w14:paraId="3861E1C0" w14:textId="77777777" w:rsidR="007F4BE8" w:rsidRDefault="007F4BE8" w:rsidP="007F4BE8">
      <w:pPr>
        <w:pStyle w:val="Listenabsatz"/>
        <w:numPr>
          <w:ilvl w:val="2"/>
          <w:numId w:val="49"/>
        </w:numPr>
        <w:ind w:left="1080"/>
      </w:pPr>
      <w:r>
        <w:t xml:space="preserve">Die obersten Geschossdecken zu unbeheizten Dachräumen müssen nachträglich gedämmt werden. </w:t>
      </w:r>
    </w:p>
    <w:p w14:paraId="1E1E4BE2" w14:textId="77777777" w:rsidR="007F4BE8" w:rsidRDefault="007F4BE8" w:rsidP="007F4BE8">
      <w:pPr>
        <w:pStyle w:val="Listenabsatz"/>
      </w:pPr>
      <w:r>
        <w:t>Darüber hinaus gibt es bestimmte Bauteilanforderungen, wenn eine Modernisierung durchgeführt wird. Wird beispielsweise die Fassade gestrichen oder werden Fenster getauscht, dürfen die neuen Bauteile bestimmte Wärmedurchgangskoeffizienten (U-Wert) nicht überschreiten. Neu ist im GEG zudem, dass neue Heizungen künftig zu mindestens 65 Prozent mit erneuerbaren Energien betrieben werden müssen.</w:t>
      </w:r>
    </w:p>
    <w:p w14:paraId="0B51DB5F" w14:textId="77777777" w:rsidR="007F4BE8" w:rsidRDefault="007F4BE8" w:rsidP="007F4BE8">
      <w:pPr>
        <w:pStyle w:val="Listenabsatz"/>
      </w:pPr>
      <w:r>
        <w:t xml:space="preserve"> Bestandsgebäude, die die genannten Anforderungen (Bauteil-U-Werte, Kesselalter, Dämmung von Versorgungsleitungen, ausschließlich fossile Energieträger und so weiter) nicht einhalten, stellen eine Substanzschwäche im Sinne der energetischen Beschaffenheit dar. Diese Bewertung kann unabhängig davon erfolgen, ob eine Sanierungsverpflichtung nach GEG greift (zum Beispiel durch Arbeiten an der Fassade) oder nicht. </w:t>
      </w:r>
    </w:p>
    <w:p w14:paraId="5E597CD0" w14:textId="77777777" w:rsidR="007F4BE8" w:rsidRDefault="007F4BE8" w:rsidP="007F4BE8">
      <w:pPr>
        <w:pStyle w:val="Listenabsatz"/>
        <w:numPr>
          <w:ilvl w:val="1"/>
          <w:numId w:val="49"/>
        </w:numPr>
        <w:ind w:left="360"/>
      </w:pPr>
      <w:r w:rsidRPr="001D0FCF">
        <w:rPr>
          <w:b/>
          <w:bCs/>
        </w:rPr>
        <w:t xml:space="preserve">Funktionsschwäche: </w:t>
      </w:r>
      <w:r>
        <w:t>Diese liegt vor, wenn der ruhende und fließende Verkehr nicht funktionieren und wenn die Ausstattung und Vernetzung im Gebiet mit Grün- und Freiflächen zum Klimaschutz und zur Klimaanpassung nicht ausreichen. Es kann also notwendig sein, Grundlagen für den fließenden und ruhenden Verkehr sowie für die Grün- und Freiflächen im Gebiet zu erörtern.</w:t>
      </w:r>
    </w:p>
    <w:p w14:paraId="2A162556" w14:textId="77777777" w:rsidR="007F4BE8" w:rsidRPr="00571781" w:rsidRDefault="007F4BE8" w:rsidP="007F4BE8">
      <w:pPr>
        <w:pStyle w:val="berschrift2"/>
      </w:pPr>
      <w:r w:rsidRPr="00571781">
        <w:t xml:space="preserve">Beispiele für Erhebungsmethoden und Begründungen der Substanzschwäche im Rahmen der vorbereitenden Untersuchung </w:t>
      </w:r>
    </w:p>
    <w:p w14:paraId="2EA30BB1" w14:textId="77777777" w:rsidR="007F4BE8" w:rsidRDefault="007F4BE8" w:rsidP="007F4BE8">
      <w:pPr>
        <w:pStyle w:val="Listenabsatz"/>
        <w:numPr>
          <w:ilvl w:val="0"/>
          <w:numId w:val="48"/>
        </w:numPr>
      </w:pPr>
      <w:r>
        <w:t xml:space="preserve">Die energetische Beschaffenheit einzelner Gebäude und/oder von Gebäudeensembles weist augenscheinlich ein Defizit auf. Sanierungsbedürftige Gebäude müssen an die aktuellen Vorschriften und gesetzlichen Vorgaben angepasst werden. Dies wurde </w:t>
      </w:r>
      <w:r>
        <w:lastRenderedPageBreak/>
        <w:t xml:space="preserve">durch Ortsbegehungen und durch eine äußerliche Bestandsaufnahme mit Blick auf Zustand von Fassadendämmung und Fensterqualität festgestellt. Auch konstruktive Mängel sind von Bedeutung, zum Beispiel Risse, Feuchtigkeit, Putzschäden, Schäden an Dach oder Fenstern. </w:t>
      </w:r>
    </w:p>
    <w:p w14:paraId="400448A9" w14:textId="77777777" w:rsidR="007F4BE8" w:rsidRDefault="007F4BE8" w:rsidP="007F4BE8">
      <w:pPr>
        <w:pStyle w:val="Listenabsatz"/>
        <w:numPr>
          <w:ilvl w:val="0"/>
          <w:numId w:val="48"/>
        </w:numPr>
      </w:pPr>
      <w:r>
        <w:t xml:space="preserve">Bei der im Rahmen der vorbereitenden Untersuchung durchgeführten Befragung der Eigentümer und Eigentümerinnen im Gebiet wurde festgestellt, dass diese überwiegend Sanierungs- und Modernisierungsbedarfe aus energetischer Sicht sehen. Dies kann zum Beispiel durch die Abfrage von Nebenkosten erfolgen. </w:t>
      </w:r>
    </w:p>
    <w:p w14:paraId="7F64608B" w14:textId="77777777" w:rsidR="007F4BE8" w:rsidRDefault="007F4BE8" w:rsidP="007F4BE8">
      <w:pPr>
        <w:pStyle w:val="Listenabsatz"/>
        <w:numPr>
          <w:ilvl w:val="0"/>
          <w:numId w:val="48"/>
        </w:numPr>
      </w:pPr>
      <w:r>
        <w:t xml:space="preserve">Durch das Heranziehen von Daten aus der kommunalen Wärmeplanung können Gebäude und/oder Gebäudeensembles mit energetischen Missständen identifiziert werden, beispielsweise durch die Wärmedichte bezogen auf die Bebauungsstruktur oder durch spezifische Wärmeverbräuche pro Quadratmeter Nutzfläche. Diese Daten können ergänzend zur Bewertung der Bausubstanz und der energetischen Beschaffenheit herangezogen werden. </w:t>
      </w:r>
    </w:p>
    <w:p w14:paraId="48D8BCF1" w14:textId="77777777" w:rsidR="007F4BE8" w:rsidRPr="00A73B49" w:rsidRDefault="007F4BE8" w:rsidP="007F4BE8">
      <w:pPr>
        <w:pStyle w:val="berschrift2"/>
      </w:pPr>
      <w:r w:rsidRPr="00A73B49">
        <w:t xml:space="preserve">Ziele der Sanierung </w:t>
      </w:r>
    </w:p>
    <w:p w14:paraId="3DD53A8C" w14:textId="77777777" w:rsidR="007F4BE8" w:rsidRDefault="007F4BE8" w:rsidP="007F4BE8">
      <w:r>
        <w:t xml:space="preserve">Im Rahmen der vorbereitenden Untersuchung müssen auch Ziele und der Zweck der Sanierung festgehalten und dokumentiert werden. Die Sanierungsziele orientieren sich an der Zustandsbeschreibung der städtebaulichen Missstände. Die Ziele müssen so konkret sein, dass der Nachweis zur Erforderlichkeit der Sanierung geführt werden kann. </w:t>
      </w:r>
      <w:r w:rsidRPr="00B604D4">
        <w:t>Der Abschlussbericht sollte allgemeine klimabezogene Defizite aufzeigen, die durch die Sanierungsmaßnahme behoben werden sollen. Es muss nachvollziehbar sein, dass die Sanierung diese Ziele unterstützt. Im Verlauf der Sanierung müssen diese Ziele</w:t>
      </w:r>
      <w:r>
        <w:t xml:space="preserve"> weiter konkretisiert werden, zum Beispiel</w:t>
      </w:r>
      <w:r w:rsidRPr="00B604D4">
        <w:t xml:space="preserve"> hinsichtlich der Wärmedurchgangskoeffizienten der Gebäudehüllen, der Art der Wärmeversorgung und der Menge an erzeugtem Photovoltaik-Strom.</w:t>
      </w:r>
    </w:p>
    <w:p w14:paraId="3833F443" w14:textId="77777777" w:rsidR="007F4BE8" w:rsidRPr="005D375E" w:rsidRDefault="007F4BE8" w:rsidP="007F4BE8">
      <w:pPr>
        <w:pStyle w:val="berschrift2"/>
      </w:pPr>
      <w:r w:rsidRPr="005D375E">
        <w:t>Beschluss und Durchführung der Sanierung</w:t>
      </w:r>
    </w:p>
    <w:p w14:paraId="3C2E7B4B" w14:textId="77777777" w:rsidR="007F4BE8" w:rsidRPr="00320C51" w:rsidRDefault="007F4BE8" w:rsidP="007F4BE8">
      <w:r>
        <w:t>Mit dem</w:t>
      </w:r>
      <w:r w:rsidRPr="00320C51">
        <w:t xml:space="preserve"> Beschluss eine</w:t>
      </w:r>
      <w:r>
        <w:t>r Sanierungssatzung gemäß § 142 </w:t>
      </w:r>
      <w:r w:rsidRPr="00320C51">
        <w:t>BauGB</w:t>
      </w:r>
      <w:r>
        <w:t xml:space="preserve"> wird</w:t>
      </w:r>
      <w:r w:rsidRPr="00320C51">
        <w:t xml:space="preserve"> ein</w:t>
      </w:r>
      <w:r>
        <w:t xml:space="preserve"> bestimmter Teil des Gemeindegebietes</w:t>
      </w:r>
      <w:r w:rsidRPr="00320C51">
        <w:t xml:space="preserve"> als Sanierungsgebiet festgelegt. Dieser Beschluss basiert auf vorbereitenden Untersuchungen, die den Sanierungsbedarf analysieren und </w:t>
      </w:r>
      <w:r>
        <w:t>Sanierungs</w:t>
      </w:r>
      <w:r w:rsidRPr="00320C51">
        <w:t>ziele definieren. Die Sanierungssatzung stellt sicher, dass Maßnahmen zur Aufwertung des Gebiets rechtlich verbindlich werden und unter kommunaler Steuerung durchgeführt werden können.</w:t>
      </w:r>
    </w:p>
    <w:p w14:paraId="5E3CB4A0" w14:textId="77777777" w:rsidR="007F4BE8" w:rsidRDefault="007F4BE8" w:rsidP="007F4BE8">
      <w:r w:rsidRPr="00320C51">
        <w:t>Die Durchführung der Sanierung erfolgt in einem abgestimmten Planungs- und Umsetzungsprozess. Dazu gehören die Konkretisierung der Sanierungsziele, die Beteiligung der betroffenen Eigentümer</w:t>
      </w:r>
      <w:r>
        <w:t xml:space="preserve"> und Eigentümerinnen und</w:t>
      </w:r>
      <w:r w:rsidRPr="00320C51">
        <w:t xml:space="preserve"> Anwohn</w:t>
      </w:r>
      <w:r>
        <w:t>enden sowie</w:t>
      </w:r>
      <w:r w:rsidRPr="00320C51">
        <w:t xml:space="preserve"> die Koordinierung von Fördermitteln und Investitionen</w:t>
      </w:r>
      <w:r>
        <w:t xml:space="preserve"> in Form einer Kosten- und Finanzierungsübersicht</w:t>
      </w:r>
      <w:r w:rsidRPr="00320C51">
        <w:t xml:space="preserve">. Ein besonderer Fokus </w:t>
      </w:r>
      <w:r>
        <w:t xml:space="preserve">in der Durchführung kann </w:t>
      </w:r>
      <w:r w:rsidRPr="00320C51">
        <w:t>auf der Umsetzung von Klimaschutzmaßnahmen</w:t>
      </w:r>
      <w:r>
        <w:t xml:space="preserve"> liegen, um mittelfristig</w:t>
      </w:r>
      <w:r w:rsidRPr="00320C51">
        <w:t xml:space="preserve"> zur Reduzierung von CO</w:t>
      </w:r>
      <w:r w:rsidRPr="00320C51">
        <w:rPr>
          <w:rFonts w:ascii="Cambria Math" w:hAnsi="Cambria Math" w:cs="Cambria Math"/>
        </w:rPr>
        <w:t>₂</w:t>
      </w:r>
      <w:r w:rsidRPr="00320C51">
        <w:t xml:space="preserve">-Emissionen </w:t>
      </w:r>
      <w:r>
        <w:t>beizutragen</w:t>
      </w:r>
      <w:r w:rsidRPr="00320C51">
        <w:t>. Beispielsweise können energetische Sanierungen</w:t>
      </w:r>
      <w:r>
        <w:t xml:space="preserve"> an den Gebäuden</w:t>
      </w:r>
      <w:r w:rsidRPr="00320C51">
        <w:t xml:space="preserve">, der </w:t>
      </w:r>
      <w:r>
        <w:t>Ausbau erneuerbarer Energien oder eine klimaneutrale Wärmeversorgung</w:t>
      </w:r>
      <w:r w:rsidRPr="00320C51">
        <w:t xml:space="preserve"> gezielt in den Sanierungsprozess integriert werden.</w:t>
      </w:r>
    </w:p>
    <w:p w14:paraId="59EA49CC" w14:textId="77777777" w:rsidR="007F4BE8" w:rsidRPr="000246A3" w:rsidRDefault="007F4BE8" w:rsidP="007F4BE8">
      <w:r w:rsidRPr="000246A3">
        <w:t xml:space="preserve">Die </w:t>
      </w:r>
      <w:r>
        <w:t>Kommune</w:t>
      </w:r>
      <w:r w:rsidRPr="000246A3">
        <w:t xml:space="preserve"> hat bei der Sanierung die Aufgabe, die Rahmenbedingungen für die Bauprojekte der </w:t>
      </w:r>
      <w:r>
        <w:t xml:space="preserve">Eigentümer und </w:t>
      </w:r>
      <w:r w:rsidRPr="000246A3">
        <w:t>Eigentümer</w:t>
      </w:r>
      <w:r>
        <w:t>innen</w:t>
      </w:r>
      <w:r w:rsidRPr="000246A3">
        <w:t xml:space="preserve"> zu schaffen, etwa durch rechtliche Regelungen und Planungen. Grundsätzlich sind die Eigentümer</w:t>
      </w:r>
      <w:r>
        <w:t xml:space="preserve"> und Eigentümerinnen </w:t>
      </w:r>
      <w:r w:rsidRPr="000246A3">
        <w:t xml:space="preserve">selbst für die Umsetzung der baulichen Maßnahmen verantwortlich. Allerdings trägt die </w:t>
      </w:r>
      <w:r>
        <w:t>Kommune</w:t>
      </w:r>
      <w:r w:rsidRPr="000246A3">
        <w:t xml:space="preserve"> eine Gesamtverantwortung für die erfolgreiche Durchführung der Sanierung. Deshalb ist sie verpflichtet, bestimmte Bauprojekte selbst umzusetzen, insbesondere wenn es um öffentliche Einrichtungen wie Schulen, Straßen</w:t>
      </w:r>
      <w:r>
        <w:t>,</w:t>
      </w:r>
      <w:r w:rsidRPr="000246A3">
        <w:t xml:space="preserve"> Parks </w:t>
      </w:r>
      <w:r>
        <w:t xml:space="preserve">und Erholungsflächen </w:t>
      </w:r>
      <w:r w:rsidRPr="000246A3">
        <w:t>geht oder wenn Eigentümer</w:t>
      </w:r>
      <w:r>
        <w:t xml:space="preserve"> und Eigentümerinnen die</w:t>
      </w:r>
      <w:r w:rsidRPr="000246A3">
        <w:t xml:space="preserve"> nötigen Maßnahmen nicht eigenständig umsetzen können.</w:t>
      </w:r>
    </w:p>
    <w:p w14:paraId="0C1DF1A0" w14:textId="77777777" w:rsidR="007F4BE8" w:rsidRPr="00320C51" w:rsidRDefault="007F4BE8" w:rsidP="007F4BE8">
      <w:r w:rsidRPr="000246A3">
        <w:t xml:space="preserve">Seit der Klimaschutz-Novelle 2011 </w:t>
      </w:r>
      <w:r>
        <w:t xml:space="preserve">im BauGB </w:t>
      </w:r>
      <w:r w:rsidRPr="000246A3">
        <w:t xml:space="preserve">sind auch Maßnahmen zur umweltfreundlichen Energieversorgung ausdrücklich Teil der Sanierung. Dazu gehören </w:t>
      </w:r>
      <w:r>
        <w:t xml:space="preserve">zum Beispiel </w:t>
      </w:r>
      <w:r w:rsidRPr="000246A3">
        <w:t xml:space="preserve">der Bau von </w:t>
      </w:r>
      <w:r w:rsidRPr="000246A3">
        <w:lastRenderedPageBreak/>
        <w:t>Solaranlagen, Wärmenetzen oder Speichersystemen für erneuerbare Energien. Diese Maßnahmen sind</w:t>
      </w:r>
      <w:r>
        <w:t xml:space="preserve"> im Rahmen der Städtebauförderung (vergleiche §§ 164a, 148 BauGB)</w:t>
      </w:r>
      <w:r w:rsidRPr="000246A3">
        <w:t xml:space="preserve"> förderfähig und sollen helfen, Sanierungsgebiete nachhaltiger zu gestalten, etwa durch bessere Energieeffizienz von Gebäuden oder klimafreundliche Versorgungssysteme. Besonders in Gebieten mit energetisch veralteter Bausubstanz sind solche </w:t>
      </w:r>
      <w:r>
        <w:t>Maßnahmen</w:t>
      </w:r>
      <w:r w:rsidRPr="000246A3">
        <w:t xml:space="preserve"> wichtig, um langfristig den Energieverbrauch und CO</w:t>
      </w:r>
      <w:r w:rsidRPr="000246A3">
        <w:rPr>
          <w:rFonts w:ascii="Cambria Math" w:hAnsi="Cambria Math" w:cs="Cambria Math"/>
        </w:rPr>
        <w:t>₂</w:t>
      </w:r>
      <w:r w:rsidRPr="000246A3">
        <w:t>-Aussto</w:t>
      </w:r>
      <w:r w:rsidRPr="000246A3">
        <w:rPr>
          <w:rFonts w:cs="Arial"/>
        </w:rPr>
        <w:t>ß</w:t>
      </w:r>
      <w:r w:rsidRPr="000246A3">
        <w:t xml:space="preserve"> zu </w:t>
      </w:r>
      <w:r>
        <w:t>reduzieren.</w:t>
      </w:r>
    </w:p>
    <w:p w14:paraId="73CB4AC8" w14:textId="77777777" w:rsidR="007F4BE8" w:rsidRPr="0064182F" w:rsidRDefault="007F4BE8" w:rsidP="007F4BE8">
      <w:pPr>
        <w:pStyle w:val="berschrift2"/>
      </w:pPr>
      <w:r w:rsidRPr="0064182F">
        <w:t>Durchsetzung und Sicherung der Sanierungsziele</w:t>
      </w:r>
    </w:p>
    <w:p w14:paraId="5900DBAE" w14:textId="77777777" w:rsidR="007F4BE8" w:rsidRPr="000246A3" w:rsidRDefault="007F4BE8" w:rsidP="007F4BE8">
      <w:r w:rsidRPr="00BA658E">
        <w:t>Die Umsetzung der Sanierungsmaßnahmen erfordert rechtliche Steuerungsinstrumente, um die Ziele wirksam durchzusetzen</w:t>
      </w:r>
      <w:r w:rsidRPr="000246A3">
        <w:t>. Ein zentrales Element ist der sanierungsrechtlich</w:t>
      </w:r>
      <w:r>
        <w:t>e Genehmigungsvorbehalt gemäß § </w:t>
      </w:r>
      <w:r w:rsidRPr="000246A3">
        <w:t xml:space="preserve">144 BauGB. Bestimmte Vorhaben innerhalb eines Sanierungsgebiets unterliegen einer Genehmigungspflicht, darunter Neubauten, Umbauten und Abrisse, Nutzungsänderungen </w:t>
      </w:r>
      <w:r>
        <w:t>und</w:t>
      </w:r>
      <w:r w:rsidRPr="000246A3">
        <w:t xml:space="preserve"> die Veräußerung von Grundstücken. Der Genehmigungsvorbehalt stellt sicher, dass bauliche und strukturelle Veränderungen mit den Sanierungszielen übereinstimmen. </w:t>
      </w:r>
      <w:r>
        <w:t>Mit dem Genehmigungsvorbehalt könnte beispielsweise ein Dachgeschossausbau so gesteuert werden, dass dieser die Installation von Photovoltaik-Anlagen (PV-Anlagen) auf den Dachflächen ermöglicht, sofern die Nutzung von erneuerbaren Energien auf Dachflächen ein Sanierungsziel ist.</w:t>
      </w:r>
    </w:p>
    <w:p w14:paraId="10F89A53" w14:textId="77777777" w:rsidR="007F4BE8" w:rsidRDefault="007F4BE8" w:rsidP="007F4BE8">
      <w:r w:rsidRPr="000246A3">
        <w:t>Darüber h</w:t>
      </w:r>
      <w:r>
        <w:t>inaus kann die Kommune gemäß § </w:t>
      </w:r>
      <w:r w:rsidRPr="000246A3">
        <w:t xml:space="preserve">177 BauGB Eigentümer </w:t>
      </w:r>
      <w:r>
        <w:t xml:space="preserve">und Eigentümerinnen </w:t>
      </w:r>
      <w:r w:rsidRPr="000246A3">
        <w:t>ver</w:t>
      </w:r>
      <w:r>
        <w:t xml:space="preserve">pflichten, ihre Gebäude instand zu </w:t>
      </w:r>
      <w:r w:rsidRPr="000246A3">
        <w:t>setzen oder zu modernisieren. Dieses Modernisierungs- und Instandsetzungsgebot dient der Verbesserung der Wohnverhältnisse</w:t>
      </w:r>
      <w:r>
        <w:t xml:space="preserve"> und kann im Sinne des Klimaschutzes etwa auch </w:t>
      </w:r>
      <w:r w:rsidRPr="000246A3">
        <w:t xml:space="preserve">der Energieeffizienzsteigerung </w:t>
      </w:r>
      <w:r>
        <w:t xml:space="preserve">des Gebäudes dienen. </w:t>
      </w:r>
      <w:proofErr w:type="spellStart"/>
      <w:r>
        <w:t>Modernisierungs</w:t>
      </w:r>
      <w:proofErr w:type="spellEnd"/>
      <w:r>
        <w:rPr>
          <w:rFonts w:ascii="Cambria Math" w:hAnsi="Cambria Math" w:cs="Cambria Math"/>
        </w:rPr>
        <w:t>‐</w:t>
      </w:r>
      <w:r>
        <w:t xml:space="preserve"> und Instandsetzungsma</w:t>
      </w:r>
      <w:r>
        <w:rPr>
          <w:rFonts w:cs="Arial"/>
        </w:rPr>
        <w:t>ß</w:t>
      </w:r>
      <w:r>
        <w:t>nahmen sind als Bauma</w:t>
      </w:r>
      <w:r>
        <w:rPr>
          <w:rFonts w:cs="Arial"/>
        </w:rPr>
        <w:t>ß</w:t>
      </w:r>
      <w:r>
        <w:t>nahmen über die Städtebauförderung förderfähig.</w:t>
      </w:r>
    </w:p>
    <w:p w14:paraId="2C451C26" w14:textId="77777777" w:rsidR="007F4BE8" w:rsidRPr="000246A3" w:rsidRDefault="007F4BE8" w:rsidP="007F4BE8">
      <w:r w:rsidRPr="000246A3">
        <w:t>Ein weiteres wichtiges Instrument ist das sanierungs</w:t>
      </w:r>
      <w:r>
        <w:t>rechtliche Vorkaufsrecht nach § </w:t>
      </w:r>
      <w:r w:rsidRPr="000246A3">
        <w:t>24 Abs.</w:t>
      </w:r>
      <w:r>
        <w:t> 1 Nr. </w:t>
      </w:r>
      <w:r w:rsidRPr="000246A3">
        <w:t xml:space="preserve">3 BauGB. Die </w:t>
      </w:r>
      <w:r>
        <w:t>Kommune</w:t>
      </w:r>
      <w:r w:rsidRPr="000246A3">
        <w:t xml:space="preserve"> hat innerhalb des Sanierungsgebiets das Recht, Grundstücke vorrangig zu erwerben, um </w:t>
      </w:r>
      <w:r>
        <w:t>die städtebauliche Sanierungsmaßnahme zu sichern</w:t>
      </w:r>
      <w:r w:rsidRPr="000246A3">
        <w:t xml:space="preserve">. Dadurch kann sie verhindern, dass Grundstücke entgegen den Sanierungszielen genutzt werden. Dieses Instrument kann genutzt werden, um </w:t>
      </w:r>
      <w:r>
        <w:t xml:space="preserve">etwa </w:t>
      </w:r>
      <w:r w:rsidRPr="000246A3">
        <w:t xml:space="preserve">Flächen gezielt für </w:t>
      </w:r>
      <w:r>
        <w:t>eine klimaneutrale Wärmeversorgung zu kaufen.</w:t>
      </w:r>
    </w:p>
    <w:p w14:paraId="7255A7E8" w14:textId="77777777" w:rsidR="007F4BE8" w:rsidRPr="0064182F" w:rsidRDefault="007F4BE8" w:rsidP="007F4BE8">
      <w:pPr>
        <w:pStyle w:val="berschrift2"/>
      </w:pPr>
      <w:r w:rsidRPr="0064182F">
        <w:t>Förderung und Steuervergünstigungen</w:t>
      </w:r>
    </w:p>
    <w:p w14:paraId="5B1761C5" w14:textId="77777777" w:rsidR="007F4BE8" w:rsidRPr="0064182F" w:rsidRDefault="007F4BE8" w:rsidP="007F4BE8">
      <w:r w:rsidRPr="0064182F">
        <w:t>Zur Finanzierung der Sanierung stehen verschiedene Förderinstrumente und steuerliche Anreize zur Verfügung. Die städtebauliche Erneuerung wird durch Bundes- und Landesmittel gefördert</w:t>
      </w:r>
      <w:r>
        <w:t xml:space="preserve"> (</w:t>
      </w:r>
      <w:hyperlink r:id="rId13" w:history="1">
        <w:r w:rsidRPr="0064182F">
          <w:rPr>
            <w:rStyle w:val="Hyperlink"/>
          </w:rPr>
          <w:t>s</w:t>
        </w:r>
        <w:r>
          <w:rPr>
            <w:rStyle w:val="Hyperlink"/>
          </w:rPr>
          <w:t>iehe</w:t>
        </w:r>
        <w:r w:rsidRPr="0064182F">
          <w:rPr>
            <w:rStyle w:val="Hyperlink"/>
          </w:rPr>
          <w:t xml:space="preserve"> Homepage </w:t>
        </w:r>
        <w:r>
          <w:rPr>
            <w:rStyle w:val="Hyperlink"/>
          </w:rPr>
          <w:t xml:space="preserve">der </w:t>
        </w:r>
        <w:r w:rsidRPr="0064182F">
          <w:rPr>
            <w:rStyle w:val="Hyperlink"/>
          </w:rPr>
          <w:t>Städtebauförderung</w:t>
        </w:r>
      </w:hyperlink>
      <w:r>
        <w:rPr>
          <w:rStyle w:val="Hyperlink"/>
        </w:rPr>
        <w:t xml:space="preserve"> des </w:t>
      </w:r>
      <w:r w:rsidRPr="00B4508B">
        <w:rPr>
          <w:rStyle w:val="Hyperlink"/>
        </w:rPr>
        <w:t>B</w:t>
      </w:r>
      <w:r>
        <w:rPr>
          <w:rStyle w:val="Hyperlink"/>
        </w:rPr>
        <w:t xml:space="preserve">undesministeriums für </w:t>
      </w:r>
      <w:r w:rsidRPr="00B4508B">
        <w:rPr>
          <w:rStyle w:val="Hyperlink"/>
        </w:rPr>
        <w:t>W</w:t>
      </w:r>
      <w:r>
        <w:rPr>
          <w:rStyle w:val="Hyperlink"/>
        </w:rPr>
        <w:t>ohnen, Stadtentwicklung und Bauwesen BMWS</w:t>
      </w:r>
      <w:r w:rsidRPr="00B4508B">
        <w:rPr>
          <w:rStyle w:val="Hyperlink"/>
        </w:rPr>
        <w:t>B</w:t>
      </w:r>
      <w:r>
        <w:t>)</w:t>
      </w:r>
      <w:r w:rsidRPr="0064182F">
        <w:t xml:space="preserve">. Förderprogramme wie </w:t>
      </w:r>
      <w:r>
        <w:t>„</w:t>
      </w:r>
      <w:r w:rsidRPr="0064182F">
        <w:t>Sozialer Zusammenhalt</w:t>
      </w:r>
      <w:r>
        <w:t>“</w:t>
      </w:r>
      <w:r w:rsidRPr="0064182F">
        <w:t xml:space="preserve"> oder </w:t>
      </w:r>
      <w:r>
        <w:t>„</w:t>
      </w:r>
      <w:r w:rsidRPr="0064182F">
        <w:t>Lebendige Zentren</w:t>
      </w:r>
      <w:r>
        <w:t>“</w:t>
      </w:r>
      <w:r w:rsidRPr="0064182F">
        <w:t xml:space="preserve"> unterstützen die Modernisierung von Wohn- und Geschäftsgebäuden, die Verbesserung der Infrastruktur sowie die Gestaltung des öffentlichen Raums. Ein besonderer Fokus liegt auf Programmen zur Förderung des Klimaschutzes, etwa zur energetischen Gebäudesanierung, zur Nutzung erneuerbarer Energien oder zur Begrünung von Dach- und Fassadenflächen. Kommunen können Fördermittel beantragen, um private und öffentliche Investitionen anzustoßen.</w:t>
      </w:r>
    </w:p>
    <w:p w14:paraId="6DB7EF3D" w14:textId="7EBA4B4C" w:rsidR="007F4BE8" w:rsidRPr="0022267A" w:rsidRDefault="007F4BE8" w:rsidP="007F4BE8">
      <w:r w:rsidRPr="0064182F">
        <w:t xml:space="preserve">Zusätzlich profitieren Eigentümer </w:t>
      </w:r>
      <w:r>
        <w:t xml:space="preserve">und Eigentümerinnen </w:t>
      </w:r>
      <w:r w:rsidRPr="0064182F">
        <w:t>von Immobilien in Sanierungsgebieten von steu</w:t>
      </w:r>
      <w:r>
        <w:t>erlichen Vergünstigungen nach § </w:t>
      </w:r>
      <w:r w:rsidRPr="0064182F">
        <w:t xml:space="preserve">7h, § 10f und § 11a Einkommensteuergesetz (EStG). Dazu gehören erhöhte Abschreibungen für Modernisierungsmaßnahmen, Steuerermäßigungen für Erhaltungsaufwand sowie Sonderabschreibungen für Investitionen in den Bestand. Maßnahmen zur energetischen Sanierung, zur Verbesserung der Gebäudedämmung und zur Nutzung erneuerbarer Energien können steuerlich besonders gefördert werden. Diese Anreize sollen private Investitionen in die Sanierung fördern </w:t>
      </w:r>
      <w:r>
        <w:t>sowie</w:t>
      </w:r>
      <w:r w:rsidRPr="0064182F">
        <w:t xml:space="preserve"> zur Attraktivität </w:t>
      </w:r>
      <w:r>
        <w:t>und</w:t>
      </w:r>
      <w:r w:rsidRPr="0064182F">
        <w:t xml:space="preserve"> Nachhaltigkeit der Gebiete beitragen.</w:t>
      </w:r>
    </w:p>
    <w:p w14:paraId="3A1DDB51" w14:textId="3CBB7917" w:rsidR="00A44E23" w:rsidRDefault="00F47647">
      <w:pPr>
        <w:rPr>
          <w:rStyle w:val="Fett"/>
        </w:rPr>
      </w:pPr>
      <w:bookmarkStart w:id="0" w:name="_Beschlussvorlage_für_die"/>
      <w:bookmarkEnd w:id="0"/>
      <w:r>
        <w:rPr>
          <w:rFonts w:eastAsia="Arial" w:cs="Arial"/>
          <w:noProof/>
          <w:lang w:eastAsia="de-DE"/>
        </w:rPr>
        <w:lastRenderedPageBreak/>
        <mc:AlternateContent>
          <mc:Choice Requires="wps">
            <w:drawing>
              <wp:inline distT="0" distB="0" distL="0" distR="0" wp14:anchorId="4E813CCC" wp14:editId="59164562">
                <wp:extent cx="5760720" cy="3771900"/>
                <wp:effectExtent l="0" t="0" r="0" b="0"/>
                <wp:docPr id="5" name="Textfeld 5"/>
                <wp:cNvGraphicFramePr/>
                <a:graphic xmlns:a="http://schemas.openxmlformats.org/drawingml/2006/main">
                  <a:graphicData uri="http://schemas.microsoft.com/office/word/2010/wordprocessingShape">
                    <wps:wsp>
                      <wps:cNvSpPr txBox="1"/>
                      <wps:spPr>
                        <a:xfrm>
                          <a:off x="0" y="0"/>
                          <a:ext cx="5760720" cy="3771900"/>
                        </a:xfrm>
                        <a:prstGeom prst="rect">
                          <a:avLst/>
                        </a:prstGeom>
                        <a:solidFill>
                          <a:schemeClr val="lt1"/>
                        </a:solidFill>
                        <a:ln w="6350">
                          <a:noFill/>
                        </a:ln>
                      </wps:spPr>
                      <wps:txbx>
                        <w:txbxContent>
                          <w:p w14:paraId="6D08A381" w14:textId="77777777" w:rsidR="00F47647" w:rsidRDefault="00F47647" w:rsidP="00F47647">
                            <w:pPr>
                              <w:pBdr>
                                <w:bottom w:val="single" w:sz="4" w:space="1" w:color="auto"/>
                              </w:pBdr>
                              <w:rPr>
                                <w:b/>
                              </w:rPr>
                            </w:pPr>
                          </w:p>
                          <w:p w14:paraId="7F757030" w14:textId="77777777" w:rsidR="00F47647" w:rsidRDefault="00F47647" w:rsidP="00F47647">
                            <w:pPr>
                              <w:pStyle w:val="berschrift2"/>
                            </w:pPr>
                            <w:r>
                              <w:t>Impressum</w:t>
                            </w:r>
                          </w:p>
                          <w:p w14:paraId="575DEA08" w14:textId="2FC56B59" w:rsidR="00F47647" w:rsidRDefault="00F47647" w:rsidP="00F47647">
                            <w:r w:rsidRPr="00DF505E">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 xml:space="preserve">im Auftrag des Bundesministeriums </w:t>
                            </w:r>
                            <w:r w:rsidR="0022267A">
                              <w:t>für Umwelt, Klimaschutz, Naturschutz und nukleare Sicherheit</w:t>
                            </w:r>
                            <w:r w:rsidR="0022267A" w:rsidRPr="00021827">
                              <w:t>.</w:t>
                            </w:r>
                          </w:p>
                          <w:p w14:paraId="48E813D7" w14:textId="617ED0E7" w:rsidR="00F47647" w:rsidRPr="00696D9A" w:rsidRDefault="00F47647" w:rsidP="00F47647">
                            <w:r>
                              <w:t xml:space="preserve">Die Ausarbeitungen </w:t>
                            </w:r>
                            <w:r w:rsidR="00555422">
                              <w:t>zu dieser Veröffentlichung</w:t>
                            </w:r>
                            <w:r>
                              <w:t xml:space="preserve"> sind in Zusammenarbeit mit dem Institut für Energie- und Umweltforschung (</w:t>
                            </w:r>
                            <w:proofErr w:type="spellStart"/>
                            <w:r>
                              <w:t>ifeu</w:t>
                            </w:r>
                            <w:proofErr w:type="spellEnd"/>
                            <w:r>
                              <w:t>) entstanden.</w:t>
                            </w:r>
                          </w:p>
                          <w:p w14:paraId="0A4DFE45" w14:textId="47E9D884" w:rsidR="00F47647" w:rsidRPr="00696D9A" w:rsidRDefault="00F47647" w:rsidP="00F47647">
                            <w:r w:rsidRPr="00696D9A">
                              <w:t xml:space="preserve">Alle Rechte vorbehalten. </w:t>
                            </w:r>
                            <w:r w:rsidR="0022267A">
                              <w:t>Novem</w:t>
                            </w:r>
                            <w:r w:rsidR="00CB70C3">
                              <w:t xml:space="preserve">ber </w:t>
                            </w:r>
                            <w:r>
                              <w:t>2025</w:t>
                            </w:r>
                            <w:r w:rsidRPr="00696D9A">
                              <w:t>.</w:t>
                            </w:r>
                          </w:p>
                          <w:p w14:paraId="6D204467" w14:textId="77777777" w:rsidR="00F47647" w:rsidRPr="00696D9A" w:rsidRDefault="00F47647" w:rsidP="00F47647">
                            <w:r w:rsidRPr="00696D9A">
                              <w:t xml:space="preserve">Diese Veröffentlichung wird kostenlos zum Download angeboten und ist nicht für den Verkauf bestimmt. </w:t>
                            </w:r>
                          </w:p>
                          <w:p w14:paraId="09ED0B1F" w14:textId="1DFF3191" w:rsidR="00F47647" w:rsidRDefault="00D8550E" w:rsidP="00F47647">
                            <w:r>
                              <w:rPr>
                                <w:noProof/>
                              </w:rPr>
                              <w:drawing>
                                <wp:inline distT="0" distB="0" distL="0" distR="0" wp14:anchorId="7F0886CD" wp14:editId="27CD6635">
                                  <wp:extent cx="5571490" cy="1270000"/>
                                  <wp:effectExtent l="0" t="0" r="0" b="6350"/>
                                  <wp:docPr id="1" name="Grafik 1" descr="Zu sehen sind drei grafische Darstellungen: links das Logo der Agentur für kommunalen Klimaschutz, mittig das Logo des BMUKN und rechts das Logo der NKI. Das Logo des BMUKN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Umwelt, Klimaschutz, Naturschutz und nukleare Sicherheit&quot;. Auf dem Logo des NKIs ist auf der linken Seite eine einfache grafische Darstellung der Erde: die Kontinente sind weiß gehalten, die Meere 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Zu sehen sind drei grafische Darstellungen: links das Logo der Agentur für kommunalen Klimaschutz, mittig das Logo des BMUKN und rechts das Logo der NKI. Das Logo des BMUKN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Umwelt, Klimaschutz, Naturschutz und nukleare Sicherheit&quot;. Auf dem Logo des NKIs ist auf der linken Seite eine einfache grafische Darstellung der Erde: die Kontinente sind weiß gehalten, die Meere blau."/>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71490" cy="1270000"/>
                                          </a:xfrm>
                                          <a:prstGeom prst="rect">
                                            <a:avLst/>
                                          </a:prstGeom>
                                          <a:noFill/>
                                          <a:ln>
                                            <a:noFill/>
                                          </a:ln>
                                        </pic:spPr>
                                      </pic:pic>
                                    </a:graphicData>
                                  </a:graphic>
                                </wp:inline>
                              </w:drawing>
                            </w:r>
                            <w:r w:rsidR="00F47647">
                              <w:rPr>
                                <w:noProof/>
                                <w:lang w:eastAsia="de-DE"/>
                              </w:rPr>
                              <w:drawing>
                                <wp:inline distT="0" distB="0" distL="0" distR="0" wp14:anchorId="0701A578" wp14:editId="6535B366">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5"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E813CCC" id="_x0000_t202" coordsize="21600,21600" o:spt="202" path="m,l,21600r21600,l21600,xe">
                <v:stroke joinstyle="miter"/>
                <v:path gradientshapeok="t" o:connecttype="rect"/>
              </v:shapetype>
              <v:shape id="Textfeld 5" o:spid="_x0000_s1026" type="#_x0000_t202" style="width:453.6pt;height:2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YapLAIAAFUEAAAOAAAAZHJzL2Uyb0RvYy54bWysVMlu2zAQvRfoPxC815IdL41gOXAduChg&#10;JAGcImeaIi0BFIclaUvu13dIyUvTnopeqCFnf29G84e2VuQorKtA53Q4SCkRmkNR6X1Ov7+uP32m&#10;xHmmC6ZAi5yehKMPi48f5o3JxAhKUIWwBINolzUmp6X3JksSx0tRMzcAIzQqJdiaebzafVJY1mD0&#10;WiWjNJ0mDdjCWODCOXx97JR0EeNLKbh/ltIJT1ROsTYfTxvPXTiTxZxle8tMWfG+DPYPVdSs0pj0&#10;EuqReUYOtvojVF1xCw6kH3CoE5Cy4iL2gN0M03fdbEtmROwFwXHmApP7f2H503FrXizx7RdokcAA&#10;SGNc5vAx9NNKW4cvVkpQjxCeLrCJ1hOOj5PZNJ2NUMVRdzebDe/TCGxydTfW+a8CahKEnFrkJcLF&#10;jhvnMSWank1CNgeqKtaVUvESZkGslCVHhiwqH4tEj9+slCZNTqd3kzQG1hDcu8hKY4JrU0Hy7a7t&#10;O91BcUIALHSz4QxfV1jkhjn/wiwOAzaGA+6f8ZAKMAn0EiUl2J9/ew/2yBFqKWlwuHLqfhyYFZSo&#10;bxrZux+Ox2Ea42U8ieDZW83uVqMP9Qqw8yGukuFRRGfr1VmUFuo33INlyIoqpjnmzqk/iyvfjTzu&#10;ERfLZTTC+TPMb/TW8BA6IB0oeG3fmDU9Tx4pfoLzGLLsHV2dbfDUsDx4kFXkMgDcodrjjrMbKe73&#10;LCzH7T1aXf8Gi18AAAD//wMAUEsDBBQABgAIAAAAIQBsUyTc3wAAAAUBAAAPAAAAZHJzL2Rvd25y&#10;ZXYueG1sTI9LT8MwEITvSPwHa5G4IGrTUkrTOBVCPKTe2vBQb268JBHxOordJPx7Fi5wWWk0o5lv&#10;0/XoGtFjF2pPGq4mCgRS4W1NpYaX/PHyFkSIhqxpPKGGLwywzk5PUpNYP9AW+10sBZdQSIyGKsY2&#10;kTIUFToTJr5FYu/Dd85Ell0pbWcGLneNnCp1I52piRcq0+J9hcXn7ug07C/K900Yn16H2XzWPjz3&#10;+eLN5lqfn413KxARx/gXhh98RoeMmQ7+SDaIRgM/En8ve0u1mII4aJgvrxXILJX/6bNvAAAA//8D&#10;AFBLAQItABQABgAIAAAAIQC2gziS/gAAAOEBAAATAAAAAAAAAAAAAAAAAAAAAABbQ29udGVudF9U&#10;eXBlc10ueG1sUEsBAi0AFAAGAAgAAAAhADj9If/WAAAAlAEAAAsAAAAAAAAAAAAAAAAALwEAAF9y&#10;ZWxzLy5yZWxzUEsBAi0AFAAGAAgAAAAhABMhhqksAgAAVQQAAA4AAAAAAAAAAAAAAAAALgIAAGRy&#10;cy9lMm9Eb2MueG1sUEsBAi0AFAAGAAgAAAAhAGxTJNzfAAAABQEAAA8AAAAAAAAAAAAAAAAAhgQA&#10;AGRycy9kb3ducmV2LnhtbFBLBQYAAAAABAAEAPMAAACSBQAAAAA=&#10;" fillcolor="white [3201]" stroked="f" strokeweight=".5pt">
                <v:textbox>
                  <w:txbxContent>
                    <w:p w14:paraId="6D08A381" w14:textId="77777777" w:rsidR="00F47647" w:rsidRDefault="00F47647" w:rsidP="00F47647">
                      <w:pPr>
                        <w:pBdr>
                          <w:bottom w:val="single" w:sz="4" w:space="1" w:color="auto"/>
                        </w:pBdr>
                        <w:rPr>
                          <w:b/>
                        </w:rPr>
                      </w:pPr>
                    </w:p>
                    <w:p w14:paraId="7F757030" w14:textId="77777777" w:rsidR="00F47647" w:rsidRDefault="00F47647" w:rsidP="00F47647">
                      <w:pPr>
                        <w:pStyle w:val="berschrift2"/>
                      </w:pPr>
                      <w:r>
                        <w:t>Impressum</w:t>
                      </w:r>
                    </w:p>
                    <w:p w14:paraId="575DEA08" w14:textId="2FC56B59" w:rsidR="00F47647" w:rsidRDefault="00F47647" w:rsidP="00F47647">
                      <w:r w:rsidRPr="00DF505E">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 xml:space="preserve">im Auftrag des Bundesministeriums </w:t>
                      </w:r>
                      <w:r w:rsidR="0022267A">
                        <w:t>für Umwelt, Klimaschutz, Naturschutz und nukleare Sicherheit</w:t>
                      </w:r>
                      <w:r w:rsidR="0022267A" w:rsidRPr="00021827">
                        <w:t>.</w:t>
                      </w:r>
                    </w:p>
                    <w:p w14:paraId="48E813D7" w14:textId="617ED0E7" w:rsidR="00F47647" w:rsidRPr="00696D9A" w:rsidRDefault="00F47647" w:rsidP="00F47647">
                      <w:r>
                        <w:t xml:space="preserve">Die Ausarbeitungen </w:t>
                      </w:r>
                      <w:r w:rsidR="00555422">
                        <w:t>zu dieser Veröffentlichung</w:t>
                      </w:r>
                      <w:r>
                        <w:t xml:space="preserve"> sind in Zusammenarbeit mit dem Institut für Energie- und Umweltforschung (</w:t>
                      </w:r>
                      <w:proofErr w:type="spellStart"/>
                      <w:r>
                        <w:t>ifeu</w:t>
                      </w:r>
                      <w:proofErr w:type="spellEnd"/>
                      <w:r>
                        <w:t>) entstanden.</w:t>
                      </w:r>
                    </w:p>
                    <w:p w14:paraId="0A4DFE45" w14:textId="47E9D884" w:rsidR="00F47647" w:rsidRPr="00696D9A" w:rsidRDefault="00F47647" w:rsidP="00F47647">
                      <w:r w:rsidRPr="00696D9A">
                        <w:t xml:space="preserve">Alle Rechte vorbehalten. </w:t>
                      </w:r>
                      <w:r w:rsidR="0022267A">
                        <w:t>Novem</w:t>
                      </w:r>
                      <w:r w:rsidR="00CB70C3">
                        <w:t xml:space="preserve">ber </w:t>
                      </w:r>
                      <w:r>
                        <w:t>2025</w:t>
                      </w:r>
                      <w:r w:rsidRPr="00696D9A">
                        <w:t>.</w:t>
                      </w:r>
                    </w:p>
                    <w:p w14:paraId="6D204467" w14:textId="77777777" w:rsidR="00F47647" w:rsidRPr="00696D9A" w:rsidRDefault="00F47647" w:rsidP="00F47647">
                      <w:r w:rsidRPr="00696D9A">
                        <w:t xml:space="preserve">Diese Veröffentlichung wird kostenlos zum Download angeboten und ist nicht für den Verkauf bestimmt. </w:t>
                      </w:r>
                    </w:p>
                    <w:p w14:paraId="09ED0B1F" w14:textId="1DFF3191" w:rsidR="00F47647" w:rsidRDefault="00D8550E" w:rsidP="00F47647">
                      <w:r>
                        <w:rPr>
                          <w:noProof/>
                        </w:rPr>
                        <w:drawing>
                          <wp:inline distT="0" distB="0" distL="0" distR="0" wp14:anchorId="7F0886CD" wp14:editId="27CD6635">
                            <wp:extent cx="5571490" cy="1270000"/>
                            <wp:effectExtent l="0" t="0" r="0" b="6350"/>
                            <wp:docPr id="1" name="Grafik 1" descr="Zu sehen sind drei grafische Darstellungen: links das Logo der Agentur für kommunalen Klimaschutz, mittig das Logo des BMUKN und rechts das Logo der NKI. Das Logo des BMUKN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Umwelt, Klimaschutz, Naturschutz und nukleare Sicherheit&quot;. Auf dem Logo des NKIs ist auf der linken Seite eine einfache grafische Darstellung der Erde: die Kontinente sind weiß gehalten, die Meere 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Zu sehen sind drei grafische Darstellungen: links das Logo der Agentur für kommunalen Klimaschutz, mittig das Logo des BMUKN und rechts das Logo der NKI. Das Logo des BMUKN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Umwelt, Klimaschutz, Naturschutz und nukleare Sicherheit&quot;. Auf dem Logo des NKIs ist auf der linken Seite eine einfache grafische Darstellung der Erde: die Kontinente sind weiß gehalten, die Meere blau."/>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71490" cy="1270000"/>
                                    </a:xfrm>
                                    <a:prstGeom prst="rect">
                                      <a:avLst/>
                                    </a:prstGeom>
                                    <a:noFill/>
                                    <a:ln>
                                      <a:noFill/>
                                    </a:ln>
                                  </pic:spPr>
                                </pic:pic>
                              </a:graphicData>
                            </a:graphic>
                          </wp:inline>
                        </w:drawing>
                      </w:r>
                      <w:r w:rsidR="00F47647">
                        <w:rPr>
                          <w:noProof/>
                          <w:lang w:eastAsia="de-DE"/>
                        </w:rPr>
                        <w:drawing>
                          <wp:inline distT="0" distB="0" distL="0" distR="0" wp14:anchorId="0701A578" wp14:editId="6535B366">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5"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p>
    <w:p w14:paraId="7F212C36" w14:textId="4094899E" w:rsidR="00A44E23" w:rsidRDefault="00A44E23" w:rsidP="00A44E23"/>
    <w:p w14:paraId="1D7057DB" w14:textId="77777777" w:rsidR="00AA1B9D" w:rsidRPr="00A44E23" w:rsidRDefault="00AA1B9D" w:rsidP="00A44E23">
      <w:pPr>
        <w:ind w:firstLine="708"/>
      </w:pPr>
    </w:p>
    <w:sectPr w:rsidR="00AA1B9D" w:rsidRPr="00A44E23" w:rsidSect="00155237">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56127" w14:textId="77777777" w:rsidR="007F201D" w:rsidRDefault="007F201D" w:rsidP="00CA04BF">
      <w:pPr>
        <w:spacing w:after="0" w:line="240" w:lineRule="auto"/>
      </w:pPr>
      <w:r>
        <w:separator/>
      </w:r>
    </w:p>
  </w:endnote>
  <w:endnote w:type="continuationSeparator" w:id="0">
    <w:p w14:paraId="0EB96A9F" w14:textId="77777777" w:rsidR="007F201D" w:rsidRDefault="007F201D" w:rsidP="00CA04BF">
      <w:pPr>
        <w:spacing w:after="0" w:line="240" w:lineRule="auto"/>
      </w:pPr>
      <w:r>
        <w:continuationSeparator/>
      </w:r>
    </w:p>
  </w:endnote>
  <w:endnote w:type="continuationNotice" w:id="1">
    <w:p w14:paraId="6BDC5F19" w14:textId="77777777" w:rsidR="007F201D" w:rsidRDefault="007F20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Berlin Type">
    <w:altName w:val="Calibri"/>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C1EED" w14:textId="77777777" w:rsidR="00D4349D" w:rsidRDefault="00D4349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Arial"/>
      </w:rPr>
      <w:id w:val="113726126"/>
      <w:docPartObj>
        <w:docPartGallery w:val="Page Numbers (Bottom of Page)"/>
        <w:docPartUnique/>
      </w:docPartObj>
    </w:sdtPr>
    <w:sdtEndPr/>
    <w:sdtContent>
      <w:p w14:paraId="44BA2E83" w14:textId="280C3B70" w:rsidR="00D4349D" w:rsidRPr="00CA04BF" w:rsidRDefault="00D4349D">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8F1153">
          <w:rPr>
            <w:rFonts w:cs="Arial"/>
            <w:noProof/>
          </w:rPr>
          <w:t>2</w:t>
        </w:r>
        <w:r w:rsidRPr="00CA04BF">
          <w:rPr>
            <w:rFonts w:cs="Arial"/>
          </w:rPr>
          <w:fldChar w:fldCharType="end"/>
        </w:r>
      </w:p>
    </w:sdtContent>
  </w:sdt>
  <w:p w14:paraId="3597418A" w14:textId="77777777" w:rsidR="00D4349D" w:rsidRPr="00CA04BF" w:rsidRDefault="00D4349D">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BCBD5" w14:textId="77777777" w:rsidR="00D4349D" w:rsidRDefault="00D4349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4C336" w14:textId="77777777" w:rsidR="007F201D" w:rsidRDefault="007F201D" w:rsidP="00CA04BF">
      <w:pPr>
        <w:spacing w:after="0" w:line="240" w:lineRule="auto"/>
      </w:pPr>
      <w:r>
        <w:separator/>
      </w:r>
    </w:p>
  </w:footnote>
  <w:footnote w:type="continuationSeparator" w:id="0">
    <w:p w14:paraId="2C622B9E" w14:textId="77777777" w:rsidR="007F201D" w:rsidRDefault="007F201D" w:rsidP="00CA04BF">
      <w:pPr>
        <w:spacing w:after="0" w:line="240" w:lineRule="auto"/>
      </w:pPr>
      <w:r>
        <w:continuationSeparator/>
      </w:r>
    </w:p>
  </w:footnote>
  <w:footnote w:type="continuationNotice" w:id="1">
    <w:p w14:paraId="4A3DAF15" w14:textId="77777777" w:rsidR="007F201D" w:rsidRDefault="007F20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B7B2F" w14:textId="77777777" w:rsidR="00D4349D" w:rsidRDefault="00D4349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B3E3E" w14:textId="77777777" w:rsidR="00D4349D" w:rsidRDefault="00D4349D"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D80BC" w14:textId="6497C558" w:rsidR="00D4349D" w:rsidRDefault="00D4349D" w:rsidP="00DB2D03">
    <w:pPr>
      <w:pStyle w:val="Kopfzeile"/>
      <w:jc w:val="right"/>
    </w:pPr>
    <w:r>
      <w:tab/>
    </w:r>
    <w:r w:rsidR="00DB2D03">
      <w:rPr>
        <w:noProof/>
        <w:lang w:eastAsia="de-DE"/>
      </w:rPr>
      <w:drawing>
        <wp:inline distT="0" distB="0" distL="0" distR="0" wp14:anchorId="2D7AB2F0" wp14:editId="572F5F3A">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sidR="00DB2D03">
      <w:rPr>
        <w:noProof/>
        <w:lang w:eastAsia="de-DE"/>
      </w:rPr>
      <w:drawing>
        <wp:inline distT="0" distB="0" distL="0" distR="0" wp14:anchorId="1A759E00" wp14:editId="2D3B28B0">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1EFB"/>
    <w:multiLevelType w:val="hybridMultilevel"/>
    <w:tmpl w:val="64E28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B246E2"/>
    <w:multiLevelType w:val="multilevel"/>
    <w:tmpl w:val="1338BF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B0D1671"/>
    <w:multiLevelType w:val="hybridMultilevel"/>
    <w:tmpl w:val="66E01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7F1CA6"/>
    <w:multiLevelType w:val="hybridMultilevel"/>
    <w:tmpl w:val="AD203EB0"/>
    <w:lvl w:ilvl="0" w:tplc="387C549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315145"/>
    <w:multiLevelType w:val="hybridMultilevel"/>
    <w:tmpl w:val="CF6E4538"/>
    <w:lvl w:ilvl="0" w:tplc="2782192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E0A448D"/>
    <w:multiLevelType w:val="hybridMultilevel"/>
    <w:tmpl w:val="17F43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0A35F0F"/>
    <w:multiLevelType w:val="hybridMultilevel"/>
    <w:tmpl w:val="12C0ACD2"/>
    <w:lvl w:ilvl="0" w:tplc="8DB83CB4">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15:restartNumberingAfterBreak="0">
    <w:nsid w:val="13E03FAE"/>
    <w:multiLevelType w:val="hybridMultilevel"/>
    <w:tmpl w:val="6F600F1E"/>
    <w:lvl w:ilvl="0" w:tplc="5E30D9A0">
      <w:start w:val="1"/>
      <w:numFmt w:val="bullet"/>
      <w:lvlText w:val=""/>
      <w:lvlJc w:val="left"/>
      <w:pPr>
        <w:ind w:left="720" w:hanging="360"/>
      </w:pPr>
      <w:rPr>
        <w:rFonts w:ascii="Symbol" w:hAnsi="Symbol"/>
      </w:rPr>
    </w:lvl>
    <w:lvl w:ilvl="1" w:tplc="83A02172">
      <w:start w:val="1"/>
      <w:numFmt w:val="bullet"/>
      <w:lvlText w:val=""/>
      <w:lvlJc w:val="left"/>
      <w:pPr>
        <w:ind w:left="720" w:hanging="360"/>
      </w:pPr>
      <w:rPr>
        <w:rFonts w:ascii="Symbol" w:hAnsi="Symbol"/>
      </w:rPr>
    </w:lvl>
    <w:lvl w:ilvl="2" w:tplc="7EA04ABE">
      <w:start w:val="1"/>
      <w:numFmt w:val="bullet"/>
      <w:lvlText w:val=""/>
      <w:lvlJc w:val="left"/>
      <w:pPr>
        <w:ind w:left="720" w:hanging="360"/>
      </w:pPr>
      <w:rPr>
        <w:rFonts w:ascii="Symbol" w:hAnsi="Symbol"/>
      </w:rPr>
    </w:lvl>
    <w:lvl w:ilvl="3" w:tplc="BE9E37EA">
      <w:start w:val="1"/>
      <w:numFmt w:val="bullet"/>
      <w:lvlText w:val=""/>
      <w:lvlJc w:val="left"/>
      <w:pPr>
        <w:ind w:left="720" w:hanging="360"/>
      </w:pPr>
      <w:rPr>
        <w:rFonts w:ascii="Symbol" w:hAnsi="Symbol"/>
      </w:rPr>
    </w:lvl>
    <w:lvl w:ilvl="4" w:tplc="55889432">
      <w:start w:val="1"/>
      <w:numFmt w:val="bullet"/>
      <w:lvlText w:val=""/>
      <w:lvlJc w:val="left"/>
      <w:pPr>
        <w:ind w:left="720" w:hanging="360"/>
      </w:pPr>
      <w:rPr>
        <w:rFonts w:ascii="Symbol" w:hAnsi="Symbol"/>
      </w:rPr>
    </w:lvl>
    <w:lvl w:ilvl="5" w:tplc="B4EAFD46">
      <w:start w:val="1"/>
      <w:numFmt w:val="bullet"/>
      <w:lvlText w:val=""/>
      <w:lvlJc w:val="left"/>
      <w:pPr>
        <w:ind w:left="720" w:hanging="360"/>
      </w:pPr>
      <w:rPr>
        <w:rFonts w:ascii="Symbol" w:hAnsi="Symbol"/>
      </w:rPr>
    </w:lvl>
    <w:lvl w:ilvl="6" w:tplc="FB7C7B56">
      <w:start w:val="1"/>
      <w:numFmt w:val="bullet"/>
      <w:lvlText w:val=""/>
      <w:lvlJc w:val="left"/>
      <w:pPr>
        <w:ind w:left="720" w:hanging="360"/>
      </w:pPr>
      <w:rPr>
        <w:rFonts w:ascii="Symbol" w:hAnsi="Symbol"/>
      </w:rPr>
    </w:lvl>
    <w:lvl w:ilvl="7" w:tplc="1B9800A0">
      <w:start w:val="1"/>
      <w:numFmt w:val="bullet"/>
      <w:lvlText w:val=""/>
      <w:lvlJc w:val="left"/>
      <w:pPr>
        <w:ind w:left="720" w:hanging="360"/>
      </w:pPr>
      <w:rPr>
        <w:rFonts w:ascii="Symbol" w:hAnsi="Symbol"/>
      </w:rPr>
    </w:lvl>
    <w:lvl w:ilvl="8" w:tplc="683C43F4">
      <w:start w:val="1"/>
      <w:numFmt w:val="bullet"/>
      <w:lvlText w:val=""/>
      <w:lvlJc w:val="left"/>
      <w:pPr>
        <w:ind w:left="720" w:hanging="360"/>
      </w:pPr>
      <w:rPr>
        <w:rFonts w:ascii="Symbol" w:hAnsi="Symbol"/>
      </w:rPr>
    </w:lvl>
  </w:abstractNum>
  <w:abstractNum w:abstractNumId="8" w15:restartNumberingAfterBreak="0">
    <w:nsid w:val="15616BA0"/>
    <w:multiLevelType w:val="hybridMultilevel"/>
    <w:tmpl w:val="3B34B7D4"/>
    <w:lvl w:ilvl="0" w:tplc="7714984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6130F31"/>
    <w:multiLevelType w:val="multilevel"/>
    <w:tmpl w:val="F662B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945AF1"/>
    <w:multiLevelType w:val="hybridMultilevel"/>
    <w:tmpl w:val="525605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A7B1745"/>
    <w:multiLevelType w:val="hybridMultilevel"/>
    <w:tmpl w:val="D07A6C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FB92517"/>
    <w:multiLevelType w:val="hybridMultilevel"/>
    <w:tmpl w:val="21C03D12"/>
    <w:lvl w:ilvl="0" w:tplc="040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07B563A"/>
    <w:multiLevelType w:val="multilevel"/>
    <w:tmpl w:val="C0F061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4A03DCF"/>
    <w:multiLevelType w:val="hybridMultilevel"/>
    <w:tmpl w:val="CE38C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9752A37"/>
    <w:multiLevelType w:val="hybridMultilevel"/>
    <w:tmpl w:val="5E3EE4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2B9AD59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F8B2BBA"/>
    <w:multiLevelType w:val="hybridMultilevel"/>
    <w:tmpl w:val="5D0C037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34BD01C3"/>
    <w:multiLevelType w:val="hybridMultilevel"/>
    <w:tmpl w:val="9A9CC19E"/>
    <w:lvl w:ilvl="0" w:tplc="6F4AC5D8">
      <w:start w:val="1"/>
      <w:numFmt w:val="bullet"/>
      <w:lvlText w:val=""/>
      <w:lvlJc w:val="left"/>
      <w:pPr>
        <w:ind w:left="720" w:hanging="360"/>
      </w:pPr>
      <w:rPr>
        <w:rFonts w:ascii="Symbol" w:hAnsi="Symbol"/>
      </w:rPr>
    </w:lvl>
    <w:lvl w:ilvl="1" w:tplc="62AE0EA4">
      <w:start w:val="1"/>
      <w:numFmt w:val="bullet"/>
      <w:lvlText w:val=""/>
      <w:lvlJc w:val="left"/>
      <w:pPr>
        <w:ind w:left="720" w:hanging="360"/>
      </w:pPr>
      <w:rPr>
        <w:rFonts w:ascii="Symbol" w:hAnsi="Symbol"/>
      </w:rPr>
    </w:lvl>
    <w:lvl w:ilvl="2" w:tplc="2E8637F4">
      <w:start w:val="1"/>
      <w:numFmt w:val="bullet"/>
      <w:lvlText w:val=""/>
      <w:lvlJc w:val="left"/>
      <w:pPr>
        <w:ind w:left="720" w:hanging="360"/>
      </w:pPr>
      <w:rPr>
        <w:rFonts w:ascii="Symbol" w:hAnsi="Symbol"/>
      </w:rPr>
    </w:lvl>
    <w:lvl w:ilvl="3" w:tplc="E83E503E">
      <w:start w:val="1"/>
      <w:numFmt w:val="bullet"/>
      <w:lvlText w:val=""/>
      <w:lvlJc w:val="left"/>
      <w:pPr>
        <w:ind w:left="720" w:hanging="360"/>
      </w:pPr>
      <w:rPr>
        <w:rFonts w:ascii="Symbol" w:hAnsi="Symbol"/>
      </w:rPr>
    </w:lvl>
    <w:lvl w:ilvl="4" w:tplc="B59CA2D4">
      <w:start w:val="1"/>
      <w:numFmt w:val="bullet"/>
      <w:lvlText w:val=""/>
      <w:lvlJc w:val="left"/>
      <w:pPr>
        <w:ind w:left="720" w:hanging="360"/>
      </w:pPr>
      <w:rPr>
        <w:rFonts w:ascii="Symbol" w:hAnsi="Symbol"/>
      </w:rPr>
    </w:lvl>
    <w:lvl w:ilvl="5" w:tplc="39D04396">
      <w:start w:val="1"/>
      <w:numFmt w:val="bullet"/>
      <w:lvlText w:val=""/>
      <w:lvlJc w:val="left"/>
      <w:pPr>
        <w:ind w:left="720" w:hanging="360"/>
      </w:pPr>
      <w:rPr>
        <w:rFonts w:ascii="Symbol" w:hAnsi="Symbol"/>
      </w:rPr>
    </w:lvl>
    <w:lvl w:ilvl="6" w:tplc="67627F7E">
      <w:start w:val="1"/>
      <w:numFmt w:val="bullet"/>
      <w:lvlText w:val=""/>
      <w:lvlJc w:val="left"/>
      <w:pPr>
        <w:ind w:left="720" w:hanging="360"/>
      </w:pPr>
      <w:rPr>
        <w:rFonts w:ascii="Symbol" w:hAnsi="Symbol"/>
      </w:rPr>
    </w:lvl>
    <w:lvl w:ilvl="7" w:tplc="7E82E8E4">
      <w:start w:val="1"/>
      <w:numFmt w:val="bullet"/>
      <w:lvlText w:val=""/>
      <w:lvlJc w:val="left"/>
      <w:pPr>
        <w:ind w:left="720" w:hanging="360"/>
      </w:pPr>
      <w:rPr>
        <w:rFonts w:ascii="Symbol" w:hAnsi="Symbol"/>
      </w:rPr>
    </w:lvl>
    <w:lvl w:ilvl="8" w:tplc="24F41E40">
      <w:start w:val="1"/>
      <w:numFmt w:val="bullet"/>
      <w:lvlText w:val=""/>
      <w:lvlJc w:val="left"/>
      <w:pPr>
        <w:ind w:left="720" w:hanging="360"/>
      </w:pPr>
      <w:rPr>
        <w:rFonts w:ascii="Symbol" w:hAnsi="Symbol"/>
      </w:rPr>
    </w:lvl>
  </w:abstractNum>
  <w:abstractNum w:abstractNumId="19" w15:restartNumberingAfterBreak="0">
    <w:nsid w:val="36D2620B"/>
    <w:multiLevelType w:val="hybridMultilevel"/>
    <w:tmpl w:val="1056F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7142EC9"/>
    <w:multiLevelType w:val="hybridMultilevel"/>
    <w:tmpl w:val="DD50C0FE"/>
    <w:lvl w:ilvl="0" w:tplc="7A8CB930">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78D6583"/>
    <w:multiLevelType w:val="hybridMultilevel"/>
    <w:tmpl w:val="07CEAFDC"/>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A08126F"/>
    <w:multiLevelType w:val="hybridMultilevel"/>
    <w:tmpl w:val="ACC467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3C7A528F"/>
    <w:multiLevelType w:val="hybridMultilevel"/>
    <w:tmpl w:val="596019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59F2A98"/>
    <w:multiLevelType w:val="hybridMultilevel"/>
    <w:tmpl w:val="65E69FFC"/>
    <w:lvl w:ilvl="0" w:tplc="2E04D550">
      <w:start w:val="1"/>
      <w:numFmt w:val="bullet"/>
      <w:lvlText w:val=""/>
      <w:lvlJc w:val="left"/>
      <w:pPr>
        <w:ind w:left="1080" w:hanging="360"/>
      </w:pPr>
      <w:rPr>
        <w:rFonts w:ascii="Symbol" w:hAnsi="Symbol"/>
      </w:rPr>
    </w:lvl>
    <w:lvl w:ilvl="1" w:tplc="F6048B8E">
      <w:start w:val="1"/>
      <w:numFmt w:val="bullet"/>
      <w:lvlText w:val=""/>
      <w:lvlJc w:val="left"/>
      <w:pPr>
        <w:ind w:left="1080" w:hanging="360"/>
      </w:pPr>
      <w:rPr>
        <w:rFonts w:ascii="Symbol" w:hAnsi="Symbol"/>
      </w:rPr>
    </w:lvl>
    <w:lvl w:ilvl="2" w:tplc="7234BB12">
      <w:start w:val="1"/>
      <w:numFmt w:val="bullet"/>
      <w:lvlText w:val=""/>
      <w:lvlJc w:val="left"/>
      <w:pPr>
        <w:ind w:left="1080" w:hanging="360"/>
      </w:pPr>
      <w:rPr>
        <w:rFonts w:ascii="Symbol" w:hAnsi="Symbol"/>
      </w:rPr>
    </w:lvl>
    <w:lvl w:ilvl="3" w:tplc="2F16C0B8">
      <w:start w:val="1"/>
      <w:numFmt w:val="bullet"/>
      <w:lvlText w:val=""/>
      <w:lvlJc w:val="left"/>
      <w:pPr>
        <w:ind w:left="1080" w:hanging="360"/>
      </w:pPr>
      <w:rPr>
        <w:rFonts w:ascii="Symbol" w:hAnsi="Symbol"/>
      </w:rPr>
    </w:lvl>
    <w:lvl w:ilvl="4" w:tplc="DAB6F660">
      <w:start w:val="1"/>
      <w:numFmt w:val="bullet"/>
      <w:lvlText w:val=""/>
      <w:lvlJc w:val="left"/>
      <w:pPr>
        <w:ind w:left="1080" w:hanging="360"/>
      </w:pPr>
      <w:rPr>
        <w:rFonts w:ascii="Symbol" w:hAnsi="Symbol"/>
      </w:rPr>
    </w:lvl>
    <w:lvl w:ilvl="5" w:tplc="4198C1F0">
      <w:start w:val="1"/>
      <w:numFmt w:val="bullet"/>
      <w:lvlText w:val=""/>
      <w:lvlJc w:val="left"/>
      <w:pPr>
        <w:ind w:left="1080" w:hanging="360"/>
      </w:pPr>
      <w:rPr>
        <w:rFonts w:ascii="Symbol" w:hAnsi="Symbol"/>
      </w:rPr>
    </w:lvl>
    <w:lvl w:ilvl="6" w:tplc="CFD00E66">
      <w:start w:val="1"/>
      <w:numFmt w:val="bullet"/>
      <w:lvlText w:val=""/>
      <w:lvlJc w:val="left"/>
      <w:pPr>
        <w:ind w:left="1080" w:hanging="360"/>
      </w:pPr>
      <w:rPr>
        <w:rFonts w:ascii="Symbol" w:hAnsi="Symbol"/>
      </w:rPr>
    </w:lvl>
    <w:lvl w:ilvl="7" w:tplc="E2E4F9E6">
      <w:start w:val="1"/>
      <w:numFmt w:val="bullet"/>
      <w:lvlText w:val=""/>
      <w:lvlJc w:val="left"/>
      <w:pPr>
        <w:ind w:left="1080" w:hanging="360"/>
      </w:pPr>
      <w:rPr>
        <w:rFonts w:ascii="Symbol" w:hAnsi="Symbol"/>
      </w:rPr>
    </w:lvl>
    <w:lvl w:ilvl="8" w:tplc="6DB2CC40">
      <w:start w:val="1"/>
      <w:numFmt w:val="bullet"/>
      <w:lvlText w:val=""/>
      <w:lvlJc w:val="left"/>
      <w:pPr>
        <w:ind w:left="1080" w:hanging="360"/>
      </w:pPr>
      <w:rPr>
        <w:rFonts w:ascii="Symbol" w:hAnsi="Symbol"/>
      </w:rPr>
    </w:lvl>
  </w:abstractNum>
  <w:abstractNum w:abstractNumId="25" w15:restartNumberingAfterBreak="0">
    <w:nsid w:val="460B61DD"/>
    <w:multiLevelType w:val="hybridMultilevel"/>
    <w:tmpl w:val="40F6A9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90C1F2D"/>
    <w:multiLevelType w:val="hybridMultilevel"/>
    <w:tmpl w:val="2722B32C"/>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A5E4A44"/>
    <w:multiLevelType w:val="hybridMultilevel"/>
    <w:tmpl w:val="E458C506"/>
    <w:lvl w:ilvl="0" w:tplc="12DE49D4">
      <w:start w:val="1"/>
      <w:numFmt w:val="lowerLetter"/>
      <w:lvlText w:val="%1."/>
      <w:lvlJc w:val="left"/>
      <w:pPr>
        <w:ind w:left="360" w:hanging="360"/>
      </w:pPr>
      <w:rPr>
        <w:rFonts w:ascii="Arial" w:eastAsiaTheme="minorHAnsi" w:hAnsi="Arial" w:cstheme="minorBidi"/>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4B0F4648"/>
    <w:multiLevelType w:val="hybridMultilevel"/>
    <w:tmpl w:val="8A00B9B8"/>
    <w:lvl w:ilvl="0" w:tplc="8FC4D976">
      <w:start w:val="1"/>
      <w:numFmt w:val="bullet"/>
      <w:pStyle w:val="Listenabsatz"/>
      <w:lvlText w:val=""/>
      <w:lvlJc w:val="left"/>
      <w:pPr>
        <w:ind w:left="360" w:hanging="360"/>
      </w:pPr>
      <w:rPr>
        <w:rFonts w:ascii="Symbol" w:hAnsi="Symbol" w:hint="default"/>
      </w:rPr>
    </w:lvl>
    <w:lvl w:ilvl="1" w:tplc="81121A26">
      <w:start w:val="1"/>
      <w:numFmt w:val="bullet"/>
      <w:pStyle w:val="Listenabsatz2"/>
      <w:lvlText w:val="o"/>
      <w:lvlJc w:val="left"/>
      <w:pPr>
        <w:ind w:left="1080" w:hanging="360"/>
      </w:pPr>
      <w:rPr>
        <w:rFonts w:ascii="Courier New" w:hAnsi="Courier New" w:cs="Courier New" w:hint="default"/>
      </w:rPr>
    </w:lvl>
    <w:lvl w:ilvl="2" w:tplc="EEDAC7D0">
      <w:numFmt w:val="bullet"/>
      <w:lvlText w:val="·"/>
      <w:lvlJc w:val="left"/>
      <w:pPr>
        <w:ind w:left="2004" w:hanging="564"/>
      </w:pPr>
      <w:rPr>
        <w:rFonts w:ascii="Arial" w:eastAsia="Times New Roman" w:hAnsi="Arial" w:cs="Arial" w:hint="default"/>
      </w:rPr>
    </w:lvl>
    <w:lvl w:ilvl="3" w:tplc="AE324342">
      <w:start w:val="324"/>
      <w:numFmt w:val="bullet"/>
      <w:lvlText w:val=""/>
      <w:lvlJc w:val="left"/>
      <w:pPr>
        <w:ind w:left="2520" w:hanging="360"/>
      </w:pPr>
      <w:rPr>
        <w:rFonts w:ascii="Wingdings" w:eastAsia="Times New Roman" w:hAnsi="Wingdings" w:cs="Aria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4C884823"/>
    <w:multiLevelType w:val="hybridMultilevel"/>
    <w:tmpl w:val="7AA8E99E"/>
    <w:lvl w:ilvl="0" w:tplc="EE92E000">
      <w:start w:val="1"/>
      <w:numFmt w:val="bullet"/>
      <w:lvlText w:val="•"/>
      <w:lvlJc w:val="left"/>
      <w:pPr>
        <w:tabs>
          <w:tab w:val="num" w:pos="720"/>
        </w:tabs>
        <w:ind w:left="720" w:hanging="360"/>
      </w:pPr>
      <w:rPr>
        <w:rFonts w:ascii="Arial" w:hAnsi="Arial" w:hint="default"/>
      </w:rPr>
    </w:lvl>
    <w:lvl w:ilvl="1" w:tplc="F5A8B53C" w:tentative="1">
      <w:start w:val="1"/>
      <w:numFmt w:val="bullet"/>
      <w:lvlText w:val="•"/>
      <w:lvlJc w:val="left"/>
      <w:pPr>
        <w:tabs>
          <w:tab w:val="num" w:pos="1440"/>
        </w:tabs>
        <w:ind w:left="1440" w:hanging="360"/>
      </w:pPr>
      <w:rPr>
        <w:rFonts w:ascii="Arial" w:hAnsi="Arial" w:hint="default"/>
      </w:rPr>
    </w:lvl>
    <w:lvl w:ilvl="2" w:tplc="4C5A7BF0" w:tentative="1">
      <w:start w:val="1"/>
      <w:numFmt w:val="bullet"/>
      <w:lvlText w:val="•"/>
      <w:lvlJc w:val="left"/>
      <w:pPr>
        <w:tabs>
          <w:tab w:val="num" w:pos="2160"/>
        </w:tabs>
        <w:ind w:left="2160" w:hanging="360"/>
      </w:pPr>
      <w:rPr>
        <w:rFonts w:ascii="Arial" w:hAnsi="Arial" w:hint="default"/>
      </w:rPr>
    </w:lvl>
    <w:lvl w:ilvl="3" w:tplc="1A1ADDD0" w:tentative="1">
      <w:start w:val="1"/>
      <w:numFmt w:val="bullet"/>
      <w:lvlText w:val="•"/>
      <w:lvlJc w:val="left"/>
      <w:pPr>
        <w:tabs>
          <w:tab w:val="num" w:pos="2880"/>
        </w:tabs>
        <w:ind w:left="2880" w:hanging="360"/>
      </w:pPr>
      <w:rPr>
        <w:rFonts w:ascii="Arial" w:hAnsi="Arial" w:hint="default"/>
      </w:rPr>
    </w:lvl>
    <w:lvl w:ilvl="4" w:tplc="1C60EF78" w:tentative="1">
      <w:start w:val="1"/>
      <w:numFmt w:val="bullet"/>
      <w:lvlText w:val="•"/>
      <w:lvlJc w:val="left"/>
      <w:pPr>
        <w:tabs>
          <w:tab w:val="num" w:pos="3600"/>
        </w:tabs>
        <w:ind w:left="3600" w:hanging="360"/>
      </w:pPr>
      <w:rPr>
        <w:rFonts w:ascii="Arial" w:hAnsi="Arial" w:hint="default"/>
      </w:rPr>
    </w:lvl>
    <w:lvl w:ilvl="5" w:tplc="6812E57A" w:tentative="1">
      <w:start w:val="1"/>
      <w:numFmt w:val="bullet"/>
      <w:lvlText w:val="•"/>
      <w:lvlJc w:val="left"/>
      <w:pPr>
        <w:tabs>
          <w:tab w:val="num" w:pos="4320"/>
        </w:tabs>
        <w:ind w:left="4320" w:hanging="360"/>
      </w:pPr>
      <w:rPr>
        <w:rFonts w:ascii="Arial" w:hAnsi="Arial" w:hint="default"/>
      </w:rPr>
    </w:lvl>
    <w:lvl w:ilvl="6" w:tplc="1A0232E0" w:tentative="1">
      <w:start w:val="1"/>
      <w:numFmt w:val="bullet"/>
      <w:lvlText w:val="•"/>
      <w:lvlJc w:val="left"/>
      <w:pPr>
        <w:tabs>
          <w:tab w:val="num" w:pos="5040"/>
        </w:tabs>
        <w:ind w:left="5040" w:hanging="360"/>
      </w:pPr>
      <w:rPr>
        <w:rFonts w:ascii="Arial" w:hAnsi="Arial" w:hint="default"/>
      </w:rPr>
    </w:lvl>
    <w:lvl w:ilvl="7" w:tplc="1EA04F2E" w:tentative="1">
      <w:start w:val="1"/>
      <w:numFmt w:val="bullet"/>
      <w:lvlText w:val="•"/>
      <w:lvlJc w:val="left"/>
      <w:pPr>
        <w:tabs>
          <w:tab w:val="num" w:pos="5760"/>
        </w:tabs>
        <w:ind w:left="5760" w:hanging="360"/>
      </w:pPr>
      <w:rPr>
        <w:rFonts w:ascii="Arial" w:hAnsi="Arial" w:hint="default"/>
      </w:rPr>
    </w:lvl>
    <w:lvl w:ilvl="8" w:tplc="EEC6AD9A"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12F4932"/>
    <w:multiLevelType w:val="hybridMultilevel"/>
    <w:tmpl w:val="809A0C3E"/>
    <w:lvl w:ilvl="0" w:tplc="1CDA392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2F71CFF"/>
    <w:multiLevelType w:val="multilevel"/>
    <w:tmpl w:val="38E05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36505B7"/>
    <w:multiLevelType w:val="hybridMultilevel"/>
    <w:tmpl w:val="F924827A"/>
    <w:lvl w:ilvl="0" w:tplc="B096E146">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64A1FA9"/>
    <w:multiLevelType w:val="hybridMultilevel"/>
    <w:tmpl w:val="5EE62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6FF3EEF"/>
    <w:multiLevelType w:val="hybridMultilevel"/>
    <w:tmpl w:val="26A03B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AAA7D42"/>
    <w:multiLevelType w:val="hybridMultilevel"/>
    <w:tmpl w:val="49F496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E9F55E9"/>
    <w:multiLevelType w:val="hybridMultilevel"/>
    <w:tmpl w:val="4B5EB6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025300D"/>
    <w:multiLevelType w:val="hybridMultilevel"/>
    <w:tmpl w:val="2E387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3340198"/>
    <w:multiLevelType w:val="hybridMultilevel"/>
    <w:tmpl w:val="9768E3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5BC2BEA"/>
    <w:multiLevelType w:val="hybridMultilevel"/>
    <w:tmpl w:val="695C7CB0"/>
    <w:lvl w:ilvl="0" w:tplc="9FFC0A6A">
      <w:numFmt w:val="bullet"/>
      <w:lvlText w:val="-"/>
      <w:lvlJc w:val="left"/>
      <w:pPr>
        <w:ind w:left="360" w:hanging="360"/>
      </w:pPr>
      <w:rPr>
        <w:rFonts w:ascii="Arial" w:eastAsia="Arial" w:hAnsi="Arial" w:cs="Arial" w:hint="default"/>
        <w:spacing w:val="-21"/>
        <w:w w:val="95"/>
        <w:sz w:val="24"/>
        <w:szCs w:val="24"/>
        <w:lang w:val="de-DE" w:eastAsia="en-US" w:bidi="ar-SA"/>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15:restartNumberingAfterBreak="0">
    <w:nsid w:val="6A3C9AD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70FF42CA"/>
    <w:multiLevelType w:val="hybridMultilevel"/>
    <w:tmpl w:val="287A3C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79263AE"/>
    <w:multiLevelType w:val="hybridMultilevel"/>
    <w:tmpl w:val="709CAC66"/>
    <w:lvl w:ilvl="0" w:tplc="08666E7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EF70C36"/>
    <w:multiLevelType w:val="hybridMultilevel"/>
    <w:tmpl w:val="5B88D7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4008267">
    <w:abstractNumId w:val="13"/>
  </w:num>
  <w:num w:numId="2" w16cid:durableId="1918976223">
    <w:abstractNumId w:val="33"/>
  </w:num>
  <w:num w:numId="3" w16cid:durableId="1983074115">
    <w:abstractNumId w:val="23"/>
  </w:num>
  <w:num w:numId="4" w16cid:durableId="1585257901">
    <w:abstractNumId w:val="37"/>
  </w:num>
  <w:num w:numId="5" w16cid:durableId="1419983507">
    <w:abstractNumId w:val="0"/>
  </w:num>
  <w:num w:numId="6" w16cid:durableId="1524591495">
    <w:abstractNumId w:val="14"/>
  </w:num>
  <w:num w:numId="7" w16cid:durableId="1813015414">
    <w:abstractNumId w:val="29"/>
  </w:num>
  <w:num w:numId="8" w16cid:durableId="1645623763">
    <w:abstractNumId w:val="2"/>
  </w:num>
  <w:num w:numId="9" w16cid:durableId="1519923807">
    <w:abstractNumId w:val="26"/>
  </w:num>
  <w:num w:numId="10" w16cid:durableId="617954815">
    <w:abstractNumId w:val="28"/>
  </w:num>
  <w:num w:numId="11" w16cid:durableId="2145387569">
    <w:abstractNumId w:val="39"/>
  </w:num>
  <w:num w:numId="12" w16cid:durableId="1333994536">
    <w:abstractNumId w:val="31"/>
  </w:num>
  <w:num w:numId="13" w16cid:durableId="605768451">
    <w:abstractNumId w:val="9"/>
  </w:num>
  <w:num w:numId="14" w16cid:durableId="589462897">
    <w:abstractNumId w:val="25"/>
  </w:num>
  <w:num w:numId="15" w16cid:durableId="1219854247">
    <w:abstractNumId w:val="11"/>
  </w:num>
  <w:num w:numId="16" w16cid:durableId="1241600134">
    <w:abstractNumId w:val="17"/>
  </w:num>
  <w:num w:numId="17" w16cid:durableId="42684278">
    <w:abstractNumId w:val="5"/>
  </w:num>
  <w:num w:numId="18" w16cid:durableId="1027830883">
    <w:abstractNumId w:val="28"/>
  </w:num>
  <w:num w:numId="19" w16cid:durableId="944918921">
    <w:abstractNumId w:val="41"/>
  </w:num>
  <w:num w:numId="20" w16cid:durableId="1486169585">
    <w:abstractNumId w:val="28"/>
  </w:num>
  <w:num w:numId="21" w16cid:durableId="245069683">
    <w:abstractNumId w:val="22"/>
  </w:num>
  <w:num w:numId="22" w16cid:durableId="73473169">
    <w:abstractNumId w:val="15"/>
  </w:num>
  <w:num w:numId="23" w16cid:durableId="1135875731">
    <w:abstractNumId w:val="36"/>
  </w:num>
  <w:num w:numId="24" w16cid:durableId="1047991877">
    <w:abstractNumId w:val="20"/>
  </w:num>
  <w:num w:numId="25" w16cid:durableId="21054981">
    <w:abstractNumId w:val="38"/>
  </w:num>
  <w:num w:numId="26" w16cid:durableId="219366469">
    <w:abstractNumId w:val="8"/>
  </w:num>
  <w:num w:numId="27" w16cid:durableId="830757866">
    <w:abstractNumId w:val="43"/>
  </w:num>
  <w:num w:numId="28" w16cid:durableId="1242984333">
    <w:abstractNumId w:val="28"/>
  </w:num>
  <w:num w:numId="29" w16cid:durableId="1474637459">
    <w:abstractNumId w:val="28"/>
  </w:num>
  <w:num w:numId="30" w16cid:durableId="1866363888">
    <w:abstractNumId w:val="35"/>
  </w:num>
  <w:num w:numId="31" w16cid:durableId="189028814">
    <w:abstractNumId w:val="28"/>
  </w:num>
  <w:num w:numId="32" w16cid:durableId="1760982070">
    <w:abstractNumId w:val="24"/>
  </w:num>
  <w:num w:numId="33" w16cid:durableId="605113856">
    <w:abstractNumId w:val="18"/>
  </w:num>
  <w:num w:numId="34" w16cid:durableId="1286543147">
    <w:abstractNumId w:val="7"/>
  </w:num>
  <w:num w:numId="35" w16cid:durableId="2021468436">
    <w:abstractNumId w:val="4"/>
  </w:num>
  <w:num w:numId="36" w16cid:durableId="1258295819">
    <w:abstractNumId w:val="42"/>
  </w:num>
  <w:num w:numId="37" w16cid:durableId="1305544322">
    <w:abstractNumId w:val="3"/>
  </w:num>
  <w:num w:numId="38" w16cid:durableId="300892128">
    <w:abstractNumId w:val="40"/>
  </w:num>
  <w:num w:numId="39" w16cid:durableId="541868105">
    <w:abstractNumId w:val="16"/>
  </w:num>
  <w:num w:numId="40" w16cid:durableId="457185758">
    <w:abstractNumId w:val="30"/>
  </w:num>
  <w:num w:numId="41" w16cid:durableId="1904178249">
    <w:abstractNumId w:val="19"/>
  </w:num>
  <w:num w:numId="42" w16cid:durableId="917861528">
    <w:abstractNumId w:val="10"/>
  </w:num>
  <w:num w:numId="43" w16cid:durableId="2063092724">
    <w:abstractNumId w:val="6"/>
  </w:num>
  <w:num w:numId="44" w16cid:durableId="798687637">
    <w:abstractNumId w:val="28"/>
  </w:num>
  <w:num w:numId="45" w16cid:durableId="1514875129">
    <w:abstractNumId w:val="12"/>
  </w:num>
  <w:num w:numId="46" w16cid:durableId="1497764767">
    <w:abstractNumId w:val="21"/>
  </w:num>
  <w:num w:numId="47" w16cid:durableId="1486631105">
    <w:abstractNumId w:val="34"/>
  </w:num>
  <w:num w:numId="48" w16cid:durableId="1019282779">
    <w:abstractNumId w:val="32"/>
  </w:num>
  <w:num w:numId="49" w16cid:durableId="210967159">
    <w:abstractNumId w:val="27"/>
  </w:num>
  <w:num w:numId="50" w16cid:durableId="3822188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autoHyphenation/>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0B8"/>
    <w:rsid w:val="00002A96"/>
    <w:rsid w:val="00012400"/>
    <w:rsid w:val="00012C6A"/>
    <w:rsid w:val="00014070"/>
    <w:rsid w:val="000154A9"/>
    <w:rsid w:val="00026044"/>
    <w:rsid w:val="00027AE7"/>
    <w:rsid w:val="00027C30"/>
    <w:rsid w:val="00040F8C"/>
    <w:rsid w:val="00041BDB"/>
    <w:rsid w:val="00045CB2"/>
    <w:rsid w:val="00052CBA"/>
    <w:rsid w:val="000646FF"/>
    <w:rsid w:val="00064A5A"/>
    <w:rsid w:val="00064F76"/>
    <w:rsid w:val="0006649D"/>
    <w:rsid w:val="0007189F"/>
    <w:rsid w:val="00075984"/>
    <w:rsid w:val="00076EE5"/>
    <w:rsid w:val="00080045"/>
    <w:rsid w:val="0008109F"/>
    <w:rsid w:val="000825CF"/>
    <w:rsid w:val="000832DA"/>
    <w:rsid w:val="00086703"/>
    <w:rsid w:val="0008695D"/>
    <w:rsid w:val="0008788E"/>
    <w:rsid w:val="0009483C"/>
    <w:rsid w:val="00095866"/>
    <w:rsid w:val="00096113"/>
    <w:rsid w:val="000A109F"/>
    <w:rsid w:val="000A7B36"/>
    <w:rsid w:val="000A7DE6"/>
    <w:rsid w:val="000B1E34"/>
    <w:rsid w:val="000B2552"/>
    <w:rsid w:val="000B547E"/>
    <w:rsid w:val="000B58CF"/>
    <w:rsid w:val="000B7395"/>
    <w:rsid w:val="000C216B"/>
    <w:rsid w:val="000C4108"/>
    <w:rsid w:val="000C4CDB"/>
    <w:rsid w:val="000C584A"/>
    <w:rsid w:val="000C5C0B"/>
    <w:rsid w:val="000D15A6"/>
    <w:rsid w:val="000D280A"/>
    <w:rsid w:val="000D2F3A"/>
    <w:rsid w:val="000E10AD"/>
    <w:rsid w:val="000E5629"/>
    <w:rsid w:val="000E77F5"/>
    <w:rsid w:val="000E7937"/>
    <w:rsid w:val="000F0736"/>
    <w:rsid w:val="000F17E0"/>
    <w:rsid w:val="000F26CC"/>
    <w:rsid w:val="000F2B57"/>
    <w:rsid w:val="000F4C47"/>
    <w:rsid w:val="000F56B2"/>
    <w:rsid w:val="000F6406"/>
    <w:rsid w:val="00100FEE"/>
    <w:rsid w:val="001015A9"/>
    <w:rsid w:val="00103320"/>
    <w:rsid w:val="001052AF"/>
    <w:rsid w:val="00106959"/>
    <w:rsid w:val="00110E7A"/>
    <w:rsid w:val="00111EE1"/>
    <w:rsid w:val="00113716"/>
    <w:rsid w:val="00113A3F"/>
    <w:rsid w:val="00117D65"/>
    <w:rsid w:val="0012021F"/>
    <w:rsid w:val="00120843"/>
    <w:rsid w:val="0012114C"/>
    <w:rsid w:val="00124773"/>
    <w:rsid w:val="0012478F"/>
    <w:rsid w:val="00125D3D"/>
    <w:rsid w:val="00126B0D"/>
    <w:rsid w:val="00127EEA"/>
    <w:rsid w:val="001315D7"/>
    <w:rsid w:val="00131DA0"/>
    <w:rsid w:val="0013321D"/>
    <w:rsid w:val="00133D4B"/>
    <w:rsid w:val="0013448F"/>
    <w:rsid w:val="0014238E"/>
    <w:rsid w:val="0014329E"/>
    <w:rsid w:val="00143FE9"/>
    <w:rsid w:val="001472FD"/>
    <w:rsid w:val="0014799F"/>
    <w:rsid w:val="001510CE"/>
    <w:rsid w:val="001510E0"/>
    <w:rsid w:val="00152258"/>
    <w:rsid w:val="00153A5A"/>
    <w:rsid w:val="00154835"/>
    <w:rsid w:val="00154F4F"/>
    <w:rsid w:val="00155237"/>
    <w:rsid w:val="001606F2"/>
    <w:rsid w:val="00162D96"/>
    <w:rsid w:val="00163137"/>
    <w:rsid w:val="001652E1"/>
    <w:rsid w:val="0017253A"/>
    <w:rsid w:val="00173F1C"/>
    <w:rsid w:val="001754A7"/>
    <w:rsid w:val="00183EE5"/>
    <w:rsid w:val="001878B7"/>
    <w:rsid w:val="00196BD2"/>
    <w:rsid w:val="001A6A49"/>
    <w:rsid w:val="001A7E7D"/>
    <w:rsid w:val="001B0D31"/>
    <w:rsid w:val="001B1AF1"/>
    <w:rsid w:val="001C23F9"/>
    <w:rsid w:val="001C409E"/>
    <w:rsid w:val="001C5264"/>
    <w:rsid w:val="001D061B"/>
    <w:rsid w:val="001D1D08"/>
    <w:rsid w:val="001D21B0"/>
    <w:rsid w:val="001D251E"/>
    <w:rsid w:val="001D47E2"/>
    <w:rsid w:val="001D545B"/>
    <w:rsid w:val="001D5C6E"/>
    <w:rsid w:val="001D7B0B"/>
    <w:rsid w:val="001E34A4"/>
    <w:rsid w:val="001E374F"/>
    <w:rsid w:val="001E4522"/>
    <w:rsid w:val="001E45F1"/>
    <w:rsid w:val="001F003D"/>
    <w:rsid w:val="001F138E"/>
    <w:rsid w:val="001F4489"/>
    <w:rsid w:val="001F7849"/>
    <w:rsid w:val="002008F9"/>
    <w:rsid w:val="00200C98"/>
    <w:rsid w:val="0020123A"/>
    <w:rsid w:val="00203CC6"/>
    <w:rsid w:val="00211FBF"/>
    <w:rsid w:val="002120FB"/>
    <w:rsid w:val="002124C7"/>
    <w:rsid w:val="0021446F"/>
    <w:rsid w:val="00214882"/>
    <w:rsid w:val="00217A41"/>
    <w:rsid w:val="00217E0F"/>
    <w:rsid w:val="002224DB"/>
    <w:rsid w:val="0022267A"/>
    <w:rsid w:val="00222E9E"/>
    <w:rsid w:val="00224350"/>
    <w:rsid w:val="0022545C"/>
    <w:rsid w:val="00225BDF"/>
    <w:rsid w:val="00231F1D"/>
    <w:rsid w:val="00233E02"/>
    <w:rsid w:val="00235281"/>
    <w:rsid w:val="00241FD0"/>
    <w:rsid w:val="00244692"/>
    <w:rsid w:val="00250172"/>
    <w:rsid w:val="0025261D"/>
    <w:rsid w:val="002563A6"/>
    <w:rsid w:val="002665EB"/>
    <w:rsid w:val="002701E1"/>
    <w:rsid w:val="0027133C"/>
    <w:rsid w:val="002734CD"/>
    <w:rsid w:val="0027376E"/>
    <w:rsid w:val="00273BE8"/>
    <w:rsid w:val="00281ABC"/>
    <w:rsid w:val="00281D28"/>
    <w:rsid w:val="00283737"/>
    <w:rsid w:val="00286A6D"/>
    <w:rsid w:val="00291481"/>
    <w:rsid w:val="0029328B"/>
    <w:rsid w:val="00294AF2"/>
    <w:rsid w:val="0029555C"/>
    <w:rsid w:val="00296077"/>
    <w:rsid w:val="00296668"/>
    <w:rsid w:val="00297C41"/>
    <w:rsid w:val="00297E01"/>
    <w:rsid w:val="002A0997"/>
    <w:rsid w:val="002A5CDB"/>
    <w:rsid w:val="002B1912"/>
    <w:rsid w:val="002B1D73"/>
    <w:rsid w:val="002B2527"/>
    <w:rsid w:val="002B2B59"/>
    <w:rsid w:val="002B2FD1"/>
    <w:rsid w:val="002B387A"/>
    <w:rsid w:val="002B48EE"/>
    <w:rsid w:val="002B59D6"/>
    <w:rsid w:val="002B5DEB"/>
    <w:rsid w:val="002B6944"/>
    <w:rsid w:val="002C0A1F"/>
    <w:rsid w:val="002C1308"/>
    <w:rsid w:val="002C6966"/>
    <w:rsid w:val="002D0287"/>
    <w:rsid w:val="002D02EF"/>
    <w:rsid w:val="002D0D8C"/>
    <w:rsid w:val="002D1CA0"/>
    <w:rsid w:val="002D2D83"/>
    <w:rsid w:val="002D4693"/>
    <w:rsid w:val="002D4BF0"/>
    <w:rsid w:val="002D551C"/>
    <w:rsid w:val="002D7781"/>
    <w:rsid w:val="002E0876"/>
    <w:rsid w:val="002E2257"/>
    <w:rsid w:val="002E2534"/>
    <w:rsid w:val="002E3C30"/>
    <w:rsid w:val="002E3C3E"/>
    <w:rsid w:val="002E4790"/>
    <w:rsid w:val="002E54BA"/>
    <w:rsid w:val="002E7D2D"/>
    <w:rsid w:val="002F05E9"/>
    <w:rsid w:val="002F0C07"/>
    <w:rsid w:val="002F1A45"/>
    <w:rsid w:val="002F2334"/>
    <w:rsid w:val="002F2CE8"/>
    <w:rsid w:val="002F7AC4"/>
    <w:rsid w:val="003031D5"/>
    <w:rsid w:val="003041D7"/>
    <w:rsid w:val="00310904"/>
    <w:rsid w:val="00310E10"/>
    <w:rsid w:val="00311C1D"/>
    <w:rsid w:val="00314887"/>
    <w:rsid w:val="003167E0"/>
    <w:rsid w:val="003175D3"/>
    <w:rsid w:val="00317F78"/>
    <w:rsid w:val="00320CD0"/>
    <w:rsid w:val="00320F93"/>
    <w:rsid w:val="00321877"/>
    <w:rsid w:val="003225C8"/>
    <w:rsid w:val="00322B21"/>
    <w:rsid w:val="00324876"/>
    <w:rsid w:val="00327804"/>
    <w:rsid w:val="00334475"/>
    <w:rsid w:val="00335A7B"/>
    <w:rsid w:val="00337DF1"/>
    <w:rsid w:val="0034319D"/>
    <w:rsid w:val="003463C3"/>
    <w:rsid w:val="003467F3"/>
    <w:rsid w:val="003506A8"/>
    <w:rsid w:val="003579D6"/>
    <w:rsid w:val="003706AE"/>
    <w:rsid w:val="00370D71"/>
    <w:rsid w:val="00370DB5"/>
    <w:rsid w:val="003716C8"/>
    <w:rsid w:val="00375AB3"/>
    <w:rsid w:val="00377C9F"/>
    <w:rsid w:val="003823CA"/>
    <w:rsid w:val="00386302"/>
    <w:rsid w:val="00386894"/>
    <w:rsid w:val="00387005"/>
    <w:rsid w:val="003916A5"/>
    <w:rsid w:val="00393C0B"/>
    <w:rsid w:val="00394223"/>
    <w:rsid w:val="00395535"/>
    <w:rsid w:val="00395CCF"/>
    <w:rsid w:val="0039698E"/>
    <w:rsid w:val="003A6A37"/>
    <w:rsid w:val="003A6A53"/>
    <w:rsid w:val="003B2123"/>
    <w:rsid w:val="003B2500"/>
    <w:rsid w:val="003B498E"/>
    <w:rsid w:val="003B72EF"/>
    <w:rsid w:val="003C0444"/>
    <w:rsid w:val="003C213A"/>
    <w:rsid w:val="003C47E2"/>
    <w:rsid w:val="003C5504"/>
    <w:rsid w:val="003C57D5"/>
    <w:rsid w:val="003C6A9A"/>
    <w:rsid w:val="003C7DA8"/>
    <w:rsid w:val="003D5A49"/>
    <w:rsid w:val="003D5A64"/>
    <w:rsid w:val="003D5C5A"/>
    <w:rsid w:val="003D60F4"/>
    <w:rsid w:val="003D625A"/>
    <w:rsid w:val="003E018D"/>
    <w:rsid w:val="003E0730"/>
    <w:rsid w:val="003E4555"/>
    <w:rsid w:val="003E7D91"/>
    <w:rsid w:val="003E7DFC"/>
    <w:rsid w:val="003F0BB2"/>
    <w:rsid w:val="003F3F98"/>
    <w:rsid w:val="003F63EA"/>
    <w:rsid w:val="00413457"/>
    <w:rsid w:val="00413F2B"/>
    <w:rsid w:val="004159EB"/>
    <w:rsid w:val="004175E1"/>
    <w:rsid w:val="0042033B"/>
    <w:rsid w:val="00420BC6"/>
    <w:rsid w:val="00423608"/>
    <w:rsid w:val="00427861"/>
    <w:rsid w:val="0043067F"/>
    <w:rsid w:val="004332B0"/>
    <w:rsid w:val="004362D0"/>
    <w:rsid w:val="00443543"/>
    <w:rsid w:val="00445EFA"/>
    <w:rsid w:val="00450A8D"/>
    <w:rsid w:val="00452323"/>
    <w:rsid w:val="00460250"/>
    <w:rsid w:val="00462FDC"/>
    <w:rsid w:val="004638C5"/>
    <w:rsid w:val="00466FA7"/>
    <w:rsid w:val="004675F3"/>
    <w:rsid w:val="00467FB9"/>
    <w:rsid w:val="00473B06"/>
    <w:rsid w:val="00473EB2"/>
    <w:rsid w:val="004744A6"/>
    <w:rsid w:val="004753FD"/>
    <w:rsid w:val="00475F0A"/>
    <w:rsid w:val="004779DA"/>
    <w:rsid w:val="00482740"/>
    <w:rsid w:val="00484D12"/>
    <w:rsid w:val="004850DA"/>
    <w:rsid w:val="00485AAD"/>
    <w:rsid w:val="00486593"/>
    <w:rsid w:val="004872AB"/>
    <w:rsid w:val="00491109"/>
    <w:rsid w:val="00491466"/>
    <w:rsid w:val="004926F8"/>
    <w:rsid w:val="004940FA"/>
    <w:rsid w:val="00495AEA"/>
    <w:rsid w:val="00495C24"/>
    <w:rsid w:val="00496179"/>
    <w:rsid w:val="004A0299"/>
    <w:rsid w:val="004A0DB2"/>
    <w:rsid w:val="004A142D"/>
    <w:rsid w:val="004A2631"/>
    <w:rsid w:val="004A4534"/>
    <w:rsid w:val="004A5C20"/>
    <w:rsid w:val="004A6AD9"/>
    <w:rsid w:val="004A76B3"/>
    <w:rsid w:val="004B19D8"/>
    <w:rsid w:val="004C1AA2"/>
    <w:rsid w:val="004C24E1"/>
    <w:rsid w:val="004C3B6B"/>
    <w:rsid w:val="004C4C63"/>
    <w:rsid w:val="004C4C8F"/>
    <w:rsid w:val="004C52FA"/>
    <w:rsid w:val="004C5370"/>
    <w:rsid w:val="004C7AEE"/>
    <w:rsid w:val="004C7B4B"/>
    <w:rsid w:val="004D075D"/>
    <w:rsid w:val="004E0DCD"/>
    <w:rsid w:val="004E289C"/>
    <w:rsid w:val="004E3152"/>
    <w:rsid w:val="004E5C4E"/>
    <w:rsid w:val="004F0670"/>
    <w:rsid w:val="004F1042"/>
    <w:rsid w:val="004F3CDA"/>
    <w:rsid w:val="004F6078"/>
    <w:rsid w:val="0050073E"/>
    <w:rsid w:val="00503A81"/>
    <w:rsid w:val="005040AB"/>
    <w:rsid w:val="00504AED"/>
    <w:rsid w:val="005055AC"/>
    <w:rsid w:val="005067B1"/>
    <w:rsid w:val="005069BE"/>
    <w:rsid w:val="00506BCD"/>
    <w:rsid w:val="00510A49"/>
    <w:rsid w:val="0051189E"/>
    <w:rsid w:val="00515259"/>
    <w:rsid w:val="005165F5"/>
    <w:rsid w:val="00520733"/>
    <w:rsid w:val="00521768"/>
    <w:rsid w:val="00521B76"/>
    <w:rsid w:val="005228DB"/>
    <w:rsid w:val="0052577A"/>
    <w:rsid w:val="0053034C"/>
    <w:rsid w:val="00531580"/>
    <w:rsid w:val="005323E5"/>
    <w:rsid w:val="005330CB"/>
    <w:rsid w:val="00533BC8"/>
    <w:rsid w:val="0053462F"/>
    <w:rsid w:val="00535ACE"/>
    <w:rsid w:val="00535B28"/>
    <w:rsid w:val="00537C0C"/>
    <w:rsid w:val="00540142"/>
    <w:rsid w:val="00544901"/>
    <w:rsid w:val="00547EB5"/>
    <w:rsid w:val="0055284E"/>
    <w:rsid w:val="00555422"/>
    <w:rsid w:val="00555BAA"/>
    <w:rsid w:val="00555DFE"/>
    <w:rsid w:val="0056045B"/>
    <w:rsid w:val="00567F87"/>
    <w:rsid w:val="00575626"/>
    <w:rsid w:val="0057563B"/>
    <w:rsid w:val="00576D4B"/>
    <w:rsid w:val="00580A1F"/>
    <w:rsid w:val="00585770"/>
    <w:rsid w:val="005924FA"/>
    <w:rsid w:val="00594445"/>
    <w:rsid w:val="005A08BB"/>
    <w:rsid w:val="005A1B47"/>
    <w:rsid w:val="005A1F08"/>
    <w:rsid w:val="005A7388"/>
    <w:rsid w:val="005B4DB9"/>
    <w:rsid w:val="005C54D3"/>
    <w:rsid w:val="005D1689"/>
    <w:rsid w:val="005E02B7"/>
    <w:rsid w:val="005E544F"/>
    <w:rsid w:val="005E5E9A"/>
    <w:rsid w:val="005E6534"/>
    <w:rsid w:val="005F07A2"/>
    <w:rsid w:val="005F2EB0"/>
    <w:rsid w:val="005F30C8"/>
    <w:rsid w:val="005F4782"/>
    <w:rsid w:val="005F5B0B"/>
    <w:rsid w:val="005F7FB0"/>
    <w:rsid w:val="00601ECF"/>
    <w:rsid w:val="0060556A"/>
    <w:rsid w:val="00605B47"/>
    <w:rsid w:val="00605DD9"/>
    <w:rsid w:val="00611AB9"/>
    <w:rsid w:val="00612210"/>
    <w:rsid w:val="006135C3"/>
    <w:rsid w:val="00613661"/>
    <w:rsid w:val="00615B8D"/>
    <w:rsid w:val="00616B7A"/>
    <w:rsid w:val="00623874"/>
    <w:rsid w:val="0062620D"/>
    <w:rsid w:val="00626B3F"/>
    <w:rsid w:val="00626C33"/>
    <w:rsid w:val="00627A54"/>
    <w:rsid w:val="00632ACA"/>
    <w:rsid w:val="0063500F"/>
    <w:rsid w:val="006464D7"/>
    <w:rsid w:val="006466C3"/>
    <w:rsid w:val="006501E0"/>
    <w:rsid w:val="0065063A"/>
    <w:rsid w:val="00651BC4"/>
    <w:rsid w:val="00654163"/>
    <w:rsid w:val="00655511"/>
    <w:rsid w:val="00656D85"/>
    <w:rsid w:val="00662388"/>
    <w:rsid w:val="00667B59"/>
    <w:rsid w:val="006700D4"/>
    <w:rsid w:val="00670CAC"/>
    <w:rsid w:val="0067316E"/>
    <w:rsid w:val="00674199"/>
    <w:rsid w:val="00676ABD"/>
    <w:rsid w:val="006779BE"/>
    <w:rsid w:val="006806EB"/>
    <w:rsid w:val="00681520"/>
    <w:rsid w:val="006826ED"/>
    <w:rsid w:val="00683140"/>
    <w:rsid w:val="0068460B"/>
    <w:rsid w:val="006849A1"/>
    <w:rsid w:val="00685011"/>
    <w:rsid w:val="00685026"/>
    <w:rsid w:val="00686223"/>
    <w:rsid w:val="00690DDC"/>
    <w:rsid w:val="00695BBF"/>
    <w:rsid w:val="00695D42"/>
    <w:rsid w:val="006A04C8"/>
    <w:rsid w:val="006A0743"/>
    <w:rsid w:val="006A0889"/>
    <w:rsid w:val="006A0C0E"/>
    <w:rsid w:val="006A489C"/>
    <w:rsid w:val="006A646E"/>
    <w:rsid w:val="006B14E9"/>
    <w:rsid w:val="006B35CB"/>
    <w:rsid w:val="006B3C71"/>
    <w:rsid w:val="006B5E12"/>
    <w:rsid w:val="006B6A04"/>
    <w:rsid w:val="006B6FF2"/>
    <w:rsid w:val="006C1D02"/>
    <w:rsid w:val="006C2BAB"/>
    <w:rsid w:val="006C44FC"/>
    <w:rsid w:val="006C7339"/>
    <w:rsid w:val="006C778F"/>
    <w:rsid w:val="006D05FB"/>
    <w:rsid w:val="006D1CCE"/>
    <w:rsid w:val="006D2E4F"/>
    <w:rsid w:val="006D4343"/>
    <w:rsid w:val="006D4934"/>
    <w:rsid w:val="006D64AB"/>
    <w:rsid w:val="006E0051"/>
    <w:rsid w:val="006E3E9D"/>
    <w:rsid w:val="006E3FF3"/>
    <w:rsid w:val="006E5DA8"/>
    <w:rsid w:val="006E75B0"/>
    <w:rsid w:val="006E7B9D"/>
    <w:rsid w:val="006F06EE"/>
    <w:rsid w:val="006F0E8E"/>
    <w:rsid w:val="006F3EB0"/>
    <w:rsid w:val="006F592E"/>
    <w:rsid w:val="006F5C2C"/>
    <w:rsid w:val="006F7C0B"/>
    <w:rsid w:val="00701B8C"/>
    <w:rsid w:val="00705094"/>
    <w:rsid w:val="00705239"/>
    <w:rsid w:val="00722A65"/>
    <w:rsid w:val="00722B5F"/>
    <w:rsid w:val="00722DD5"/>
    <w:rsid w:val="00723326"/>
    <w:rsid w:val="00723A12"/>
    <w:rsid w:val="007251E7"/>
    <w:rsid w:val="00732F83"/>
    <w:rsid w:val="0073447B"/>
    <w:rsid w:val="00734831"/>
    <w:rsid w:val="007429FD"/>
    <w:rsid w:val="00743C25"/>
    <w:rsid w:val="00745C9A"/>
    <w:rsid w:val="00746311"/>
    <w:rsid w:val="0074765F"/>
    <w:rsid w:val="00747698"/>
    <w:rsid w:val="00747950"/>
    <w:rsid w:val="0075164E"/>
    <w:rsid w:val="007520CB"/>
    <w:rsid w:val="00753535"/>
    <w:rsid w:val="007539F2"/>
    <w:rsid w:val="0075482F"/>
    <w:rsid w:val="00764C20"/>
    <w:rsid w:val="0076770B"/>
    <w:rsid w:val="007756F2"/>
    <w:rsid w:val="0078007B"/>
    <w:rsid w:val="007800C8"/>
    <w:rsid w:val="0078026B"/>
    <w:rsid w:val="00781558"/>
    <w:rsid w:val="00782B13"/>
    <w:rsid w:val="00784625"/>
    <w:rsid w:val="00784B0A"/>
    <w:rsid w:val="007854F1"/>
    <w:rsid w:val="00785B33"/>
    <w:rsid w:val="00786148"/>
    <w:rsid w:val="00786AC8"/>
    <w:rsid w:val="007945B6"/>
    <w:rsid w:val="007A04D9"/>
    <w:rsid w:val="007A5741"/>
    <w:rsid w:val="007B039D"/>
    <w:rsid w:val="007B0E23"/>
    <w:rsid w:val="007B13CB"/>
    <w:rsid w:val="007B1844"/>
    <w:rsid w:val="007B43FD"/>
    <w:rsid w:val="007B4B24"/>
    <w:rsid w:val="007B539F"/>
    <w:rsid w:val="007B5E0E"/>
    <w:rsid w:val="007C3E5B"/>
    <w:rsid w:val="007C6A01"/>
    <w:rsid w:val="007C7CDA"/>
    <w:rsid w:val="007D008D"/>
    <w:rsid w:val="007D137E"/>
    <w:rsid w:val="007D4853"/>
    <w:rsid w:val="007D7948"/>
    <w:rsid w:val="007E0B40"/>
    <w:rsid w:val="007E7602"/>
    <w:rsid w:val="007F10F1"/>
    <w:rsid w:val="007F201D"/>
    <w:rsid w:val="007F2869"/>
    <w:rsid w:val="007F35BB"/>
    <w:rsid w:val="007F4BE8"/>
    <w:rsid w:val="007F5F2A"/>
    <w:rsid w:val="008021BB"/>
    <w:rsid w:val="00802278"/>
    <w:rsid w:val="00802D92"/>
    <w:rsid w:val="00803798"/>
    <w:rsid w:val="00803B4D"/>
    <w:rsid w:val="00805CC8"/>
    <w:rsid w:val="00806B3B"/>
    <w:rsid w:val="00807B3B"/>
    <w:rsid w:val="00811DD2"/>
    <w:rsid w:val="00813E29"/>
    <w:rsid w:val="00815FC7"/>
    <w:rsid w:val="008163C4"/>
    <w:rsid w:val="00817521"/>
    <w:rsid w:val="00817680"/>
    <w:rsid w:val="00820EE2"/>
    <w:rsid w:val="0082269F"/>
    <w:rsid w:val="00824CD7"/>
    <w:rsid w:val="00825A5B"/>
    <w:rsid w:val="0082725A"/>
    <w:rsid w:val="00833900"/>
    <w:rsid w:val="0083593A"/>
    <w:rsid w:val="00837565"/>
    <w:rsid w:val="00846F58"/>
    <w:rsid w:val="00850B62"/>
    <w:rsid w:val="008517D7"/>
    <w:rsid w:val="0085297A"/>
    <w:rsid w:val="0085471A"/>
    <w:rsid w:val="0086258E"/>
    <w:rsid w:val="00864585"/>
    <w:rsid w:val="00866F04"/>
    <w:rsid w:val="008705CA"/>
    <w:rsid w:val="00871EA9"/>
    <w:rsid w:val="008743B6"/>
    <w:rsid w:val="00874FA2"/>
    <w:rsid w:val="00875CC0"/>
    <w:rsid w:val="00876EBA"/>
    <w:rsid w:val="0087764E"/>
    <w:rsid w:val="00881B0F"/>
    <w:rsid w:val="00881ECB"/>
    <w:rsid w:val="00882508"/>
    <w:rsid w:val="00884833"/>
    <w:rsid w:val="008860F6"/>
    <w:rsid w:val="00886F5D"/>
    <w:rsid w:val="008904B9"/>
    <w:rsid w:val="0089123A"/>
    <w:rsid w:val="00891343"/>
    <w:rsid w:val="00891558"/>
    <w:rsid w:val="008937CA"/>
    <w:rsid w:val="008941C1"/>
    <w:rsid w:val="008965E4"/>
    <w:rsid w:val="0089690F"/>
    <w:rsid w:val="008975D2"/>
    <w:rsid w:val="008A0AE1"/>
    <w:rsid w:val="008A3702"/>
    <w:rsid w:val="008A4198"/>
    <w:rsid w:val="008A5DA7"/>
    <w:rsid w:val="008A5DFD"/>
    <w:rsid w:val="008B0F42"/>
    <w:rsid w:val="008B5490"/>
    <w:rsid w:val="008C2E6B"/>
    <w:rsid w:val="008C3974"/>
    <w:rsid w:val="008C4E8A"/>
    <w:rsid w:val="008C774E"/>
    <w:rsid w:val="008D1697"/>
    <w:rsid w:val="008D19BE"/>
    <w:rsid w:val="008D2025"/>
    <w:rsid w:val="008D2792"/>
    <w:rsid w:val="008D3815"/>
    <w:rsid w:val="008D51CD"/>
    <w:rsid w:val="008E306E"/>
    <w:rsid w:val="008E3F57"/>
    <w:rsid w:val="008E4DA3"/>
    <w:rsid w:val="008F05DA"/>
    <w:rsid w:val="008F0F5B"/>
    <w:rsid w:val="008F1153"/>
    <w:rsid w:val="008F16D0"/>
    <w:rsid w:val="008F17E5"/>
    <w:rsid w:val="008F188F"/>
    <w:rsid w:val="008F59D2"/>
    <w:rsid w:val="008F6044"/>
    <w:rsid w:val="008F6525"/>
    <w:rsid w:val="008F75F2"/>
    <w:rsid w:val="009029E5"/>
    <w:rsid w:val="00907305"/>
    <w:rsid w:val="009104BE"/>
    <w:rsid w:val="009113D3"/>
    <w:rsid w:val="00915A31"/>
    <w:rsid w:val="00917F37"/>
    <w:rsid w:val="00923541"/>
    <w:rsid w:val="00923609"/>
    <w:rsid w:val="00924B97"/>
    <w:rsid w:val="00925E78"/>
    <w:rsid w:val="00925EA2"/>
    <w:rsid w:val="00927CD9"/>
    <w:rsid w:val="0093084A"/>
    <w:rsid w:val="00932560"/>
    <w:rsid w:val="00932E67"/>
    <w:rsid w:val="00933A5D"/>
    <w:rsid w:val="00934634"/>
    <w:rsid w:val="00935255"/>
    <w:rsid w:val="00936600"/>
    <w:rsid w:val="00943036"/>
    <w:rsid w:val="0094361E"/>
    <w:rsid w:val="009457FC"/>
    <w:rsid w:val="00946926"/>
    <w:rsid w:val="00950287"/>
    <w:rsid w:val="00953DE2"/>
    <w:rsid w:val="00954B5E"/>
    <w:rsid w:val="00963FF4"/>
    <w:rsid w:val="00964B6E"/>
    <w:rsid w:val="009669F6"/>
    <w:rsid w:val="00967598"/>
    <w:rsid w:val="00967E83"/>
    <w:rsid w:val="009740CE"/>
    <w:rsid w:val="00976175"/>
    <w:rsid w:val="00976EC8"/>
    <w:rsid w:val="0097716B"/>
    <w:rsid w:val="00977CFA"/>
    <w:rsid w:val="009817B2"/>
    <w:rsid w:val="00982858"/>
    <w:rsid w:val="00982E60"/>
    <w:rsid w:val="00984DD3"/>
    <w:rsid w:val="0098680A"/>
    <w:rsid w:val="00992EA7"/>
    <w:rsid w:val="00997263"/>
    <w:rsid w:val="009973F5"/>
    <w:rsid w:val="009A0020"/>
    <w:rsid w:val="009A2AE8"/>
    <w:rsid w:val="009A77E6"/>
    <w:rsid w:val="009B435F"/>
    <w:rsid w:val="009B4B8B"/>
    <w:rsid w:val="009B6979"/>
    <w:rsid w:val="009B7AA0"/>
    <w:rsid w:val="009C6FF4"/>
    <w:rsid w:val="009C7DDF"/>
    <w:rsid w:val="009D052F"/>
    <w:rsid w:val="009D41E4"/>
    <w:rsid w:val="009D6EBE"/>
    <w:rsid w:val="009D743F"/>
    <w:rsid w:val="009E0339"/>
    <w:rsid w:val="009E200B"/>
    <w:rsid w:val="009E49F0"/>
    <w:rsid w:val="009E4AAF"/>
    <w:rsid w:val="009E4DB7"/>
    <w:rsid w:val="009E5151"/>
    <w:rsid w:val="009E626E"/>
    <w:rsid w:val="009E641D"/>
    <w:rsid w:val="009E7B58"/>
    <w:rsid w:val="009F283A"/>
    <w:rsid w:val="009F2C84"/>
    <w:rsid w:val="00A00391"/>
    <w:rsid w:val="00A01A08"/>
    <w:rsid w:val="00A01BBD"/>
    <w:rsid w:val="00A03A7F"/>
    <w:rsid w:val="00A0439A"/>
    <w:rsid w:val="00A067A9"/>
    <w:rsid w:val="00A06896"/>
    <w:rsid w:val="00A10C04"/>
    <w:rsid w:val="00A13C57"/>
    <w:rsid w:val="00A1682D"/>
    <w:rsid w:val="00A1695C"/>
    <w:rsid w:val="00A16B43"/>
    <w:rsid w:val="00A2129A"/>
    <w:rsid w:val="00A21E1D"/>
    <w:rsid w:val="00A266C0"/>
    <w:rsid w:val="00A31C06"/>
    <w:rsid w:val="00A35364"/>
    <w:rsid w:val="00A35513"/>
    <w:rsid w:val="00A357F0"/>
    <w:rsid w:val="00A36299"/>
    <w:rsid w:val="00A418E1"/>
    <w:rsid w:val="00A42340"/>
    <w:rsid w:val="00A43DB1"/>
    <w:rsid w:val="00A44E23"/>
    <w:rsid w:val="00A46E15"/>
    <w:rsid w:val="00A51875"/>
    <w:rsid w:val="00A54A0A"/>
    <w:rsid w:val="00A55DF3"/>
    <w:rsid w:val="00A565CC"/>
    <w:rsid w:val="00A57546"/>
    <w:rsid w:val="00A57928"/>
    <w:rsid w:val="00A66A38"/>
    <w:rsid w:val="00A66C69"/>
    <w:rsid w:val="00A674FA"/>
    <w:rsid w:val="00A70C41"/>
    <w:rsid w:val="00A72FED"/>
    <w:rsid w:val="00A73CA2"/>
    <w:rsid w:val="00A75637"/>
    <w:rsid w:val="00A7595F"/>
    <w:rsid w:val="00A80EF3"/>
    <w:rsid w:val="00A81267"/>
    <w:rsid w:val="00A81EF2"/>
    <w:rsid w:val="00A85916"/>
    <w:rsid w:val="00A85B4E"/>
    <w:rsid w:val="00A86634"/>
    <w:rsid w:val="00A8693F"/>
    <w:rsid w:val="00A9223C"/>
    <w:rsid w:val="00A929EF"/>
    <w:rsid w:val="00A93EC2"/>
    <w:rsid w:val="00A94594"/>
    <w:rsid w:val="00AA1B9D"/>
    <w:rsid w:val="00AA32A4"/>
    <w:rsid w:val="00AA364B"/>
    <w:rsid w:val="00AB3C11"/>
    <w:rsid w:val="00AB4B6E"/>
    <w:rsid w:val="00AC3285"/>
    <w:rsid w:val="00AC62E0"/>
    <w:rsid w:val="00AD1338"/>
    <w:rsid w:val="00AD347B"/>
    <w:rsid w:val="00AD4124"/>
    <w:rsid w:val="00AD50B7"/>
    <w:rsid w:val="00AD60B8"/>
    <w:rsid w:val="00AD72CE"/>
    <w:rsid w:val="00AE3BD6"/>
    <w:rsid w:val="00AE469C"/>
    <w:rsid w:val="00AE7E3A"/>
    <w:rsid w:val="00AF07DE"/>
    <w:rsid w:val="00AF32D4"/>
    <w:rsid w:val="00AF3C6D"/>
    <w:rsid w:val="00AF3F51"/>
    <w:rsid w:val="00AF4A1D"/>
    <w:rsid w:val="00AF66F9"/>
    <w:rsid w:val="00AF7046"/>
    <w:rsid w:val="00B028E8"/>
    <w:rsid w:val="00B04829"/>
    <w:rsid w:val="00B0579F"/>
    <w:rsid w:val="00B1239F"/>
    <w:rsid w:val="00B137A8"/>
    <w:rsid w:val="00B161FC"/>
    <w:rsid w:val="00B175F5"/>
    <w:rsid w:val="00B207B0"/>
    <w:rsid w:val="00B246A8"/>
    <w:rsid w:val="00B26EED"/>
    <w:rsid w:val="00B30A97"/>
    <w:rsid w:val="00B3353B"/>
    <w:rsid w:val="00B401C8"/>
    <w:rsid w:val="00B41F2A"/>
    <w:rsid w:val="00B424E0"/>
    <w:rsid w:val="00B46E2E"/>
    <w:rsid w:val="00B47516"/>
    <w:rsid w:val="00B5006E"/>
    <w:rsid w:val="00B50C3F"/>
    <w:rsid w:val="00B529AA"/>
    <w:rsid w:val="00B54D6B"/>
    <w:rsid w:val="00B55FE6"/>
    <w:rsid w:val="00B56CB4"/>
    <w:rsid w:val="00B646BC"/>
    <w:rsid w:val="00B64AD7"/>
    <w:rsid w:val="00B6637D"/>
    <w:rsid w:val="00B711C8"/>
    <w:rsid w:val="00B71A4D"/>
    <w:rsid w:val="00B71FBF"/>
    <w:rsid w:val="00B816D1"/>
    <w:rsid w:val="00B82569"/>
    <w:rsid w:val="00B831B9"/>
    <w:rsid w:val="00B844D4"/>
    <w:rsid w:val="00B84CFA"/>
    <w:rsid w:val="00B87A7D"/>
    <w:rsid w:val="00B907DD"/>
    <w:rsid w:val="00B94864"/>
    <w:rsid w:val="00B967C4"/>
    <w:rsid w:val="00B971CD"/>
    <w:rsid w:val="00B9767B"/>
    <w:rsid w:val="00B97E46"/>
    <w:rsid w:val="00B97FB3"/>
    <w:rsid w:val="00BA0BF6"/>
    <w:rsid w:val="00BA5827"/>
    <w:rsid w:val="00BA6750"/>
    <w:rsid w:val="00BA7296"/>
    <w:rsid w:val="00BB13C5"/>
    <w:rsid w:val="00BB59BB"/>
    <w:rsid w:val="00BB5DD5"/>
    <w:rsid w:val="00BC0967"/>
    <w:rsid w:val="00BC29C0"/>
    <w:rsid w:val="00BC32E1"/>
    <w:rsid w:val="00BC76F1"/>
    <w:rsid w:val="00BC78C0"/>
    <w:rsid w:val="00BC7C0F"/>
    <w:rsid w:val="00BD0D86"/>
    <w:rsid w:val="00BD2538"/>
    <w:rsid w:val="00BD4C24"/>
    <w:rsid w:val="00BD51E5"/>
    <w:rsid w:val="00BD5D77"/>
    <w:rsid w:val="00BD73A5"/>
    <w:rsid w:val="00BE0509"/>
    <w:rsid w:val="00BE17DB"/>
    <w:rsid w:val="00BE1B19"/>
    <w:rsid w:val="00BE2DC3"/>
    <w:rsid w:val="00BF1A23"/>
    <w:rsid w:val="00BF3969"/>
    <w:rsid w:val="00BF5EE0"/>
    <w:rsid w:val="00C01C29"/>
    <w:rsid w:val="00C04976"/>
    <w:rsid w:val="00C050D3"/>
    <w:rsid w:val="00C0602B"/>
    <w:rsid w:val="00C111A5"/>
    <w:rsid w:val="00C122C2"/>
    <w:rsid w:val="00C12325"/>
    <w:rsid w:val="00C1289B"/>
    <w:rsid w:val="00C1595A"/>
    <w:rsid w:val="00C160EC"/>
    <w:rsid w:val="00C204C6"/>
    <w:rsid w:val="00C2195A"/>
    <w:rsid w:val="00C21D29"/>
    <w:rsid w:val="00C2622A"/>
    <w:rsid w:val="00C26B72"/>
    <w:rsid w:val="00C2789E"/>
    <w:rsid w:val="00C33366"/>
    <w:rsid w:val="00C33B22"/>
    <w:rsid w:val="00C33D17"/>
    <w:rsid w:val="00C36D34"/>
    <w:rsid w:val="00C374CA"/>
    <w:rsid w:val="00C400FC"/>
    <w:rsid w:val="00C40F3E"/>
    <w:rsid w:val="00C428FA"/>
    <w:rsid w:val="00C42BCD"/>
    <w:rsid w:val="00C60591"/>
    <w:rsid w:val="00C670A1"/>
    <w:rsid w:val="00C670CF"/>
    <w:rsid w:val="00C70F8D"/>
    <w:rsid w:val="00C71D78"/>
    <w:rsid w:val="00C71EB7"/>
    <w:rsid w:val="00C73FC2"/>
    <w:rsid w:val="00C7593A"/>
    <w:rsid w:val="00C75F1A"/>
    <w:rsid w:val="00C77125"/>
    <w:rsid w:val="00C81121"/>
    <w:rsid w:val="00C81A8C"/>
    <w:rsid w:val="00C83311"/>
    <w:rsid w:val="00C84A4D"/>
    <w:rsid w:val="00C86488"/>
    <w:rsid w:val="00C86738"/>
    <w:rsid w:val="00C87557"/>
    <w:rsid w:val="00C93488"/>
    <w:rsid w:val="00C944EB"/>
    <w:rsid w:val="00C961F3"/>
    <w:rsid w:val="00C9763C"/>
    <w:rsid w:val="00C97EA7"/>
    <w:rsid w:val="00CA04BF"/>
    <w:rsid w:val="00CA0D11"/>
    <w:rsid w:val="00CA1435"/>
    <w:rsid w:val="00CA347E"/>
    <w:rsid w:val="00CA65DE"/>
    <w:rsid w:val="00CA6962"/>
    <w:rsid w:val="00CA7882"/>
    <w:rsid w:val="00CA7EE9"/>
    <w:rsid w:val="00CB245D"/>
    <w:rsid w:val="00CB3539"/>
    <w:rsid w:val="00CB70C3"/>
    <w:rsid w:val="00CB76D4"/>
    <w:rsid w:val="00CC0DFB"/>
    <w:rsid w:val="00CC2E02"/>
    <w:rsid w:val="00CC371D"/>
    <w:rsid w:val="00CC3A12"/>
    <w:rsid w:val="00CC61CD"/>
    <w:rsid w:val="00CC6FD4"/>
    <w:rsid w:val="00CC7EAE"/>
    <w:rsid w:val="00CD14ED"/>
    <w:rsid w:val="00CD28F2"/>
    <w:rsid w:val="00CD3ECC"/>
    <w:rsid w:val="00CD5445"/>
    <w:rsid w:val="00CD5630"/>
    <w:rsid w:val="00CE25D9"/>
    <w:rsid w:val="00CE2755"/>
    <w:rsid w:val="00CE2AB7"/>
    <w:rsid w:val="00CE34E4"/>
    <w:rsid w:val="00CE359E"/>
    <w:rsid w:val="00CE6288"/>
    <w:rsid w:val="00CE6E01"/>
    <w:rsid w:val="00CE6F57"/>
    <w:rsid w:val="00CF103F"/>
    <w:rsid w:val="00CF4431"/>
    <w:rsid w:val="00D0033C"/>
    <w:rsid w:val="00D02CFB"/>
    <w:rsid w:val="00D039C2"/>
    <w:rsid w:val="00D03FA7"/>
    <w:rsid w:val="00D0515B"/>
    <w:rsid w:val="00D0544B"/>
    <w:rsid w:val="00D067A0"/>
    <w:rsid w:val="00D1192A"/>
    <w:rsid w:val="00D11C5D"/>
    <w:rsid w:val="00D15015"/>
    <w:rsid w:val="00D16008"/>
    <w:rsid w:val="00D16326"/>
    <w:rsid w:val="00D2237D"/>
    <w:rsid w:val="00D22826"/>
    <w:rsid w:val="00D228F5"/>
    <w:rsid w:val="00D2487D"/>
    <w:rsid w:val="00D25427"/>
    <w:rsid w:val="00D26A22"/>
    <w:rsid w:val="00D27BF9"/>
    <w:rsid w:val="00D3050C"/>
    <w:rsid w:val="00D30DA1"/>
    <w:rsid w:val="00D35AB2"/>
    <w:rsid w:val="00D35BF8"/>
    <w:rsid w:val="00D36DAA"/>
    <w:rsid w:val="00D4085E"/>
    <w:rsid w:val="00D41AC5"/>
    <w:rsid w:val="00D420B8"/>
    <w:rsid w:val="00D4349D"/>
    <w:rsid w:val="00D44AF2"/>
    <w:rsid w:val="00D46599"/>
    <w:rsid w:val="00D465C5"/>
    <w:rsid w:val="00D46B4C"/>
    <w:rsid w:val="00D500EB"/>
    <w:rsid w:val="00D558C9"/>
    <w:rsid w:val="00D61C47"/>
    <w:rsid w:val="00D62F91"/>
    <w:rsid w:val="00D7198A"/>
    <w:rsid w:val="00D73822"/>
    <w:rsid w:val="00D816FF"/>
    <w:rsid w:val="00D83313"/>
    <w:rsid w:val="00D8550E"/>
    <w:rsid w:val="00D87C99"/>
    <w:rsid w:val="00D9138A"/>
    <w:rsid w:val="00D92077"/>
    <w:rsid w:val="00D925F0"/>
    <w:rsid w:val="00D92995"/>
    <w:rsid w:val="00D92B91"/>
    <w:rsid w:val="00D9483A"/>
    <w:rsid w:val="00D954A3"/>
    <w:rsid w:val="00D9698B"/>
    <w:rsid w:val="00DA0665"/>
    <w:rsid w:val="00DA28B9"/>
    <w:rsid w:val="00DB0227"/>
    <w:rsid w:val="00DB07DC"/>
    <w:rsid w:val="00DB2D03"/>
    <w:rsid w:val="00DB43FC"/>
    <w:rsid w:val="00DB63E5"/>
    <w:rsid w:val="00DB65E3"/>
    <w:rsid w:val="00DB72E7"/>
    <w:rsid w:val="00DC66EA"/>
    <w:rsid w:val="00DD052F"/>
    <w:rsid w:val="00DD078D"/>
    <w:rsid w:val="00DD5216"/>
    <w:rsid w:val="00DD5980"/>
    <w:rsid w:val="00DD5F4B"/>
    <w:rsid w:val="00DD685D"/>
    <w:rsid w:val="00DD76A4"/>
    <w:rsid w:val="00DE18DA"/>
    <w:rsid w:val="00DE2970"/>
    <w:rsid w:val="00DE472A"/>
    <w:rsid w:val="00DE5745"/>
    <w:rsid w:val="00DF505E"/>
    <w:rsid w:val="00DF76E1"/>
    <w:rsid w:val="00E003CF"/>
    <w:rsid w:val="00E04712"/>
    <w:rsid w:val="00E06509"/>
    <w:rsid w:val="00E06DC3"/>
    <w:rsid w:val="00E1278D"/>
    <w:rsid w:val="00E13A79"/>
    <w:rsid w:val="00E151A0"/>
    <w:rsid w:val="00E16D4C"/>
    <w:rsid w:val="00E20184"/>
    <w:rsid w:val="00E23A9F"/>
    <w:rsid w:val="00E247F1"/>
    <w:rsid w:val="00E27579"/>
    <w:rsid w:val="00E3015A"/>
    <w:rsid w:val="00E30E10"/>
    <w:rsid w:val="00E33B91"/>
    <w:rsid w:val="00E3644B"/>
    <w:rsid w:val="00E41FB4"/>
    <w:rsid w:val="00E422EA"/>
    <w:rsid w:val="00E42DEC"/>
    <w:rsid w:val="00E521CE"/>
    <w:rsid w:val="00E52357"/>
    <w:rsid w:val="00E533D6"/>
    <w:rsid w:val="00E57833"/>
    <w:rsid w:val="00E71D24"/>
    <w:rsid w:val="00E743D3"/>
    <w:rsid w:val="00E7445F"/>
    <w:rsid w:val="00E7493B"/>
    <w:rsid w:val="00E75221"/>
    <w:rsid w:val="00E75227"/>
    <w:rsid w:val="00E75BEB"/>
    <w:rsid w:val="00E76828"/>
    <w:rsid w:val="00E76AA4"/>
    <w:rsid w:val="00E83F31"/>
    <w:rsid w:val="00E91EAB"/>
    <w:rsid w:val="00EA07E0"/>
    <w:rsid w:val="00EA483E"/>
    <w:rsid w:val="00EA50C7"/>
    <w:rsid w:val="00EA755A"/>
    <w:rsid w:val="00EB353A"/>
    <w:rsid w:val="00EB6518"/>
    <w:rsid w:val="00EB732C"/>
    <w:rsid w:val="00EB7858"/>
    <w:rsid w:val="00EC01ED"/>
    <w:rsid w:val="00EC3B18"/>
    <w:rsid w:val="00EC4008"/>
    <w:rsid w:val="00EC5007"/>
    <w:rsid w:val="00EC6B97"/>
    <w:rsid w:val="00ED27C6"/>
    <w:rsid w:val="00ED2D47"/>
    <w:rsid w:val="00EE00DB"/>
    <w:rsid w:val="00EE20B2"/>
    <w:rsid w:val="00EE4A8B"/>
    <w:rsid w:val="00EF5A5D"/>
    <w:rsid w:val="00F0101D"/>
    <w:rsid w:val="00F0198F"/>
    <w:rsid w:val="00F02070"/>
    <w:rsid w:val="00F0726D"/>
    <w:rsid w:val="00F10D8E"/>
    <w:rsid w:val="00F17257"/>
    <w:rsid w:val="00F2226A"/>
    <w:rsid w:val="00F25D66"/>
    <w:rsid w:val="00F260DE"/>
    <w:rsid w:val="00F26DD0"/>
    <w:rsid w:val="00F27D54"/>
    <w:rsid w:val="00F304EE"/>
    <w:rsid w:val="00F31302"/>
    <w:rsid w:val="00F355BF"/>
    <w:rsid w:val="00F3633A"/>
    <w:rsid w:val="00F405B2"/>
    <w:rsid w:val="00F40BA7"/>
    <w:rsid w:val="00F42535"/>
    <w:rsid w:val="00F4349B"/>
    <w:rsid w:val="00F4579C"/>
    <w:rsid w:val="00F47647"/>
    <w:rsid w:val="00F47915"/>
    <w:rsid w:val="00F5130A"/>
    <w:rsid w:val="00F54617"/>
    <w:rsid w:val="00F55F3E"/>
    <w:rsid w:val="00F57A12"/>
    <w:rsid w:val="00F60DD5"/>
    <w:rsid w:val="00F61AD5"/>
    <w:rsid w:val="00F64633"/>
    <w:rsid w:val="00F655D9"/>
    <w:rsid w:val="00F65836"/>
    <w:rsid w:val="00F65846"/>
    <w:rsid w:val="00F72617"/>
    <w:rsid w:val="00F72B75"/>
    <w:rsid w:val="00F731D6"/>
    <w:rsid w:val="00F77ED6"/>
    <w:rsid w:val="00F813A0"/>
    <w:rsid w:val="00F82599"/>
    <w:rsid w:val="00F83D4D"/>
    <w:rsid w:val="00F85CEB"/>
    <w:rsid w:val="00F85E91"/>
    <w:rsid w:val="00F86933"/>
    <w:rsid w:val="00F87F57"/>
    <w:rsid w:val="00F904EE"/>
    <w:rsid w:val="00F91FE5"/>
    <w:rsid w:val="00F94027"/>
    <w:rsid w:val="00F940AE"/>
    <w:rsid w:val="00F95D45"/>
    <w:rsid w:val="00FA0A1F"/>
    <w:rsid w:val="00FA1512"/>
    <w:rsid w:val="00FA2F30"/>
    <w:rsid w:val="00FA3481"/>
    <w:rsid w:val="00FB091A"/>
    <w:rsid w:val="00FB0DFE"/>
    <w:rsid w:val="00FB1A5D"/>
    <w:rsid w:val="00FC2313"/>
    <w:rsid w:val="00FC53F9"/>
    <w:rsid w:val="00FC62DB"/>
    <w:rsid w:val="00FD152F"/>
    <w:rsid w:val="00FD2877"/>
    <w:rsid w:val="00FE0E21"/>
    <w:rsid w:val="00FE19A5"/>
    <w:rsid w:val="00FE2024"/>
    <w:rsid w:val="00FE23D1"/>
    <w:rsid w:val="00FE2F40"/>
    <w:rsid w:val="00FE4CDF"/>
    <w:rsid w:val="00FE5821"/>
    <w:rsid w:val="00FE7682"/>
    <w:rsid w:val="00FF1702"/>
    <w:rsid w:val="00FF3325"/>
    <w:rsid w:val="00FF3CB4"/>
    <w:rsid w:val="00FF54B0"/>
    <w:rsid w:val="00FF76DF"/>
    <w:rsid w:val="01B250CF"/>
    <w:rsid w:val="0CFE40F9"/>
    <w:rsid w:val="1C1517F5"/>
    <w:rsid w:val="220083C2"/>
    <w:rsid w:val="28563846"/>
    <w:rsid w:val="291264C5"/>
    <w:rsid w:val="36266D49"/>
    <w:rsid w:val="36456025"/>
    <w:rsid w:val="3BA4D828"/>
    <w:rsid w:val="3E698ECE"/>
    <w:rsid w:val="3F241C2F"/>
    <w:rsid w:val="41F39889"/>
    <w:rsid w:val="4F173C00"/>
    <w:rsid w:val="63BD7D2A"/>
    <w:rsid w:val="6C07E658"/>
    <w:rsid w:val="6C4EE557"/>
    <w:rsid w:val="7C7C791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3477974"/>
  <w15:chartTrackingRefBased/>
  <w15:docId w15:val="{78358D7D-4933-4CF8-8300-50BF70168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73822"/>
    <w:rPr>
      <w:rFonts w:ascii="Arial" w:hAnsi="Arial"/>
    </w:rPr>
  </w:style>
  <w:style w:type="paragraph" w:styleId="berschrift1">
    <w:name w:val="heading 1"/>
    <w:basedOn w:val="Standard"/>
    <w:next w:val="Standard"/>
    <w:link w:val="berschrift1Zchn"/>
    <w:uiPriority w:val="9"/>
    <w:qFormat/>
    <w:rsid w:val="00AA1B9D"/>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AA1B9D"/>
    <w:pPr>
      <w:keepNext/>
      <w:keepLines/>
      <w:spacing w:before="40" w:after="0"/>
      <w:outlineLvl w:val="1"/>
    </w:pPr>
    <w:rPr>
      <w:rFonts w:eastAsiaTheme="majorEastAsia" w:cstheme="majorBidi"/>
      <w:color w:val="0043B5"/>
      <w:sz w:val="28"/>
      <w:szCs w:val="26"/>
    </w:rPr>
  </w:style>
  <w:style w:type="paragraph" w:styleId="berschrift3">
    <w:name w:val="heading 3"/>
    <w:basedOn w:val="berschrift2"/>
    <w:next w:val="Standard"/>
    <w:link w:val="berschrift3Zchn"/>
    <w:uiPriority w:val="9"/>
    <w:unhideWhenUsed/>
    <w:qFormat/>
    <w:rsid w:val="00907305"/>
    <w:pPr>
      <w:outlineLvl w:val="2"/>
    </w:pPr>
    <w:rPr>
      <w:rFonts w:asciiTheme="majorHAnsi" w:hAnsiTheme="majorHAns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C81A8C"/>
    <w:pPr>
      <w:numPr>
        <w:numId w:val="10"/>
      </w:numPr>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style>
  <w:style w:type="character" w:customStyle="1" w:styleId="BuletinBCZchn">
    <w:name w:val="Buletin BC Zchn"/>
    <w:basedOn w:val="Absatz-Standardschriftart"/>
    <w:link w:val="BuletinBC"/>
    <w:rsid w:val="00BE17DB"/>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6C44FC"/>
    <w:rPr>
      <w:color w:val="0563C1" w:themeColor="hyperlink"/>
      <w:u w:val="single"/>
    </w:rPr>
  </w:style>
  <w:style w:type="character" w:customStyle="1" w:styleId="berschrift1Zchn">
    <w:name w:val="Überschrift 1 Zchn"/>
    <w:basedOn w:val="Absatz-Standardschriftart"/>
    <w:link w:val="berschrift1"/>
    <w:uiPriority w:val="9"/>
    <w:rsid w:val="00AA1B9D"/>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AA1B9D"/>
    <w:rPr>
      <w:rFonts w:ascii="Arial" w:eastAsiaTheme="majorEastAsia" w:hAnsi="Arial" w:cstheme="majorBidi"/>
      <w:color w:val="0043B5"/>
      <w:sz w:val="28"/>
      <w:szCs w:val="26"/>
    </w:rPr>
  </w:style>
  <w:style w:type="paragraph" w:styleId="KeinLeerraum">
    <w:name w:val="No Spacing"/>
    <w:uiPriority w:val="1"/>
    <w:qFormat/>
    <w:rsid w:val="00D73822"/>
    <w:pPr>
      <w:spacing w:after="0" w:line="240" w:lineRule="auto"/>
    </w:pPr>
    <w:rPr>
      <w:rFonts w:ascii="Arial" w:hAnsi="Arial"/>
    </w:rPr>
  </w:style>
  <w:style w:type="paragraph" w:styleId="Titel">
    <w:name w:val="Title"/>
    <w:basedOn w:val="Standard"/>
    <w:next w:val="Standard"/>
    <w:link w:val="TitelZchn"/>
    <w:uiPriority w:val="10"/>
    <w:qFormat/>
    <w:rsid w:val="00D73822"/>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D73822"/>
    <w:rPr>
      <w:rFonts w:ascii="Arial" w:eastAsiaTheme="majorEastAsia" w:hAnsi="Arial" w:cstheme="majorBidi"/>
      <w:spacing w:val="-10"/>
      <w:kern w:val="28"/>
      <w:sz w:val="56"/>
      <w:szCs w:val="56"/>
    </w:rPr>
  </w:style>
  <w:style w:type="paragraph" w:styleId="Inhaltsverzeichnisberschrift">
    <w:name w:val="TOC Heading"/>
    <w:basedOn w:val="berschrift1"/>
    <w:next w:val="Standard"/>
    <w:uiPriority w:val="39"/>
    <w:unhideWhenUsed/>
    <w:qFormat/>
    <w:rsid w:val="00D420B8"/>
    <w:pPr>
      <w:outlineLvl w:val="9"/>
    </w:pPr>
    <w:rPr>
      <w:rFonts w:asciiTheme="majorHAnsi" w:hAnsiTheme="majorHAnsi"/>
      <w:lang w:eastAsia="de-DE"/>
    </w:rPr>
  </w:style>
  <w:style w:type="paragraph" w:styleId="Verzeichnis1">
    <w:name w:val="toc 1"/>
    <w:basedOn w:val="Standard"/>
    <w:next w:val="Standard"/>
    <w:autoRedefine/>
    <w:uiPriority w:val="39"/>
    <w:unhideWhenUsed/>
    <w:rsid w:val="00FF1702"/>
    <w:pPr>
      <w:spacing w:after="100"/>
    </w:pPr>
  </w:style>
  <w:style w:type="character" w:customStyle="1" w:styleId="NichtaufgelsteErwhnung1">
    <w:name w:val="Nicht aufgelöste Erwähnung1"/>
    <w:basedOn w:val="Absatz-Standardschriftart"/>
    <w:uiPriority w:val="99"/>
    <w:semiHidden/>
    <w:unhideWhenUsed/>
    <w:rsid w:val="00AC3285"/>
    <w:rPr>
      <w:color w:val="605E5C"/>
      <w:shd w:val="clear" w:color="auto" w:fill="E1DFDD"/>
    </w:rPr>
  </w:style>
  <w:style w:type="paragraph" w:styleId="Funotentext">
    <w:name w:val="footnote text"/>
    <w:basedOn w:val="Standard"/>
    <w:link w:val="FunotentextZchn"/>
    <w:uiPriority w:val="99"/>
    <w:unhideWhenUsed/>
    <w:rsid w:val="00AC3285"/>
    <w:pPr>
      <w:spacing w:after="0" w:line="240" w:lineRule="auto"/>
    </w:pPr>
    <w:rPr>
      <w:sz w:val="20"/>
      <w:szCs w:val="20"/>
    </w:rPr>
  </w:style>
  <w:style w:type="character" w:customStyle="1" w:styleId="FunotentextZchn">
    <w:name w:val="Fußnotentext Zchn"/>
    <w:basedOn w:val="Absatz-Standardschriftart"/>
    <w:link w:val="Funotentext"/>
    <w:uiPriority w:val="99"/>
    <w:rsid w:val="00AC3285"/>
    <w:rPr>
      <w:rFonts w:ascii="Arial" w:hAnsi="Arial"/>
      <w:sz w:val="20"/>
      <w:szCs w:val="20"/>
    </w:rPr>
  </w:style>
  <w:style w:type="character" w:styleId="Funotenzeichen">
    <w:name w:val="footnote reference"/>
    <w:basedOn w:val="Absatz-Standardschriftart"/>
    <w:uiPriority w:val="99"/>
    <w:semiHidden/>
    <w:unhideWhenUsed/>
    <w:rsid w:val="00AC3285"/>
    <w:rPr>
      <w:vertAlign w:val="superscript"/>
    </w:rPr>
  </w:style>
  <w:style w:type="character" w:styleId="BesuchterLink">
    <w:name w:val="FollowedHyperlink"/>
    <w:basedOn w:val="Absatz-Standardschriftart"/>
    <w:uiPriority w:val="99"/>
    <w:semiHidden/>
    <w:unhideWhenUsed/>
    <w:rsid w:val="00F904EE"/>
    <w:rPr>
      <w:color w:val="954F72" w:themeColor="followedHyperlink"/>
      <w:u w:val="single"/>
    </w:rPr>
  </w:style>
  <w:style w:type="paragraph" w:styleId="Untertitel">
    <w:name w:val="Subtitle"/>
    <w:basedOn w:val="Standard"/>
    <w:next w:val="Standard"/>
    <w:link w:val="UntertitelZchn"/>
    <w:uiPriority w:val="11"/>
    <w:qFormat/>
    <w:rsid w:val="00C01C29"/>
    <w:pPr>
      <w:numPr>
        <w:ilvl w:val="1"/>
      </w:numPr>
    </w:pPr>
    <w:rPr>
      <w:rFonts w:asciiTheme="minorHAnsi" w:eastAsiaTheme="minorEastAsia" w:hAnsiTheme="minorHAnsi"/>
      <w:color w:val="5A5A5A" w:themeColor="text1" w:themeTint="A5"/>
      <w:spacing w:val="15"/>
    </w:rPr>
  </w:style>
  <w:style w:type="character" w:customStyle="1" w:styleId="UntertitelZchn">
    <w:name w:val="Untertitel Zchn"/>
    <w:basedOn w:val="Absatz-Standardschriftart"/>
    <w:link w:val="Untertitel"/>
    <w:uiPriority w:val="11"/>
    <w:rsid w:val="00C01C29"/>
    <w:rPr>
      <w:rFonts w:eastAsiaTheme="minorEastAsia"/>
      <w:color w:val="5A5A5A" w:themeColor="text1" w:themeTint="A5"/>
      <w:spacing w:val="15"/>
    </w:rPr>
  </w:style>
  <w:style w:type="paragraph" w:styleId="berarbeitung">
    <w:name w:val="Revision"/>
    <w:hidden/>
    <w:uiPriority w:val="99"/>
    <w:semiHidden/>
    <w:rsid w:val="001878B7"/>
    <w:pPr>
      <w:spacing w:after="0" w:line="240" w:lineRule="auto"/>
    </w:pPr>
    <w:rPr>
      <w:rFonts w:ascii="Arial" w:hAnsi="Arial"/>
    </w:rPr>
  </w:style>
  <w:style w:type="character" w:customStyle="1" w:styleId="NichtaufgelsteErwhnung2">
    <w:name w:val="Nicht aufgelöste Erwähnung2"/>
    <w:basedOn w:val="Absatz-Standardschriftart"/>
    <w:uiPriority w:val="99"/>
    <w:semiHidden/>
    <w:unhideWhenUsed/>
    <w:rsid w:val="00BD0D86"/>
    <w:rPr>
      <w:color w:val="605E5C"/>
      <w:shd w:val="clear" w:color="auto" w:fill="E1DFDD"/>
    </w:rPr>
  </w:style>
  <w:style w:type="paragraph" w:customStyle="1" w:styleId="Pa3">
    <w:name w:val="Pa3"/>
    <w:basedOn w:val="Default"/>
    <w:next w:val="Default"/>
    <w:uiPriority w:val="99"/>
    <w:rsid w:val="00F94027"/>
    <w:pPr>
      <w:spacing w:line="191" w:lineRule="atLeast"/>
    </w:pPr>
    <w:rPr>
      <w:rFonts w:ascii="Berlin Type" w:hAnsi="Berlin Type" w:cstheme="minorBidi"/>
      <w:color w:val="auto"/>
    </w:rPr>
  </w:style>
  <w:style w:type="character" w:styleId="SchwacheHervorhebung">
    <w:name w:val="Subtle Emphasis"/>
    <w:basedOn w:val="Absatz-Standardschriftart"/>
    <w:uiPriority w:val="19"/>
    <w:qFormat/>
    <w:rsid w:val="00515259"/>
    <w:rPr>
      <w:i/>
      <w:iCs/>
      <w:color w:val="404040" w:themeColor="text1" w:themeTint="BF"/>
    </w:rPr>
  </w:style>
  <w:style w:type="character" w:styleId="Hervorhebung">
    <w:name w:val="Emphasis"/>
    <w:basedOn w:val="Absatz-Standardschriftart"/>
    <w:uiPriority w:val="20"/>
    <w:qFormat/>
    <w:rsid w:val="00291481"/>
    <w:rPr>
      <w:i/>
      <w:iCs/>
    </w:rPr>
  </w:style>
  <w:style w:type="character" w:customStyle="1" w:styleId="NichtaufgelsteErwhnung3">
    <w:name w:val="Nicht aufgelöste Erwähnung3"/>
    <w:basedOn w:val="Absatz-Standardschriftart"/>
    <w:uiPriority w:val="99"/>
    <w:semiHidden/>
    <w:unhideWhenUsed/>
    <w:rsid w:val="00A72FED"/>
    <w:rPr>
      <w:color w:val="605E5C"/>
      <w:shd w:val="clear" w:color="auto" w:fill="E1DFDD"/>
    </w:rPr>
  </w:style>
  <w:style w:type="character" w:customStyle="1" w:styleId="berschrift3Zchn">
    <w:name w:val="Überschrift 3 Zchn"/>
    <w:basedOn w:val="Absatz-Standardschriftart"/>
    <w:link w:val="berschrift3"/>
    <w:uiPriority w:val="9"/>
    <w:rsid w:val="00C670A1"/>
    <w:rPr>
      <w:rFonts w:asciiTheme="majorHAnsi" w:eastAsiaTheme="majorEastAsia" w:hAnsiTheme="majorHAnsi" w:cstheme="majorBidi"/>
      <w:color w:val="1F4D78" w:themeColor="accent1" w:themeShade="7F"/>
      <w:sz w:val="24"/>
      <w:szCs w:val="24"/>
    </w:rPr>
  </w:style>
  <w:style w:type="paragraph" w:customStyle="1" w:styleId="Listenabsatz2">
    <w:name w:val="Listenabsatz 2"/>
    <w:basedOn w:val="Standard"/>
    <w:qFormat/>
    <w:rsid w:val="00C81A8C"/>
    <w:pPr>
      <w:numPr>
        <w:ilvl w:val="1"/>
        <w:numId w:val="10"/>
      </w:numPr>
      <w:spacing w:after="0"/>
      <w:ind w:left="1077" w:hanging="3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345249">
      <w:bodyDiv w:val="1"/>
      <w:marLeft w:val="0"/>
      <w:marRight w:val="0"/>
      <w:marTop w:val="0"/>
      <w:marBottom w:val="0"/>
      <w:divBdr>
        <w:top w:val="none" w:sz="0" w:space="0" w:color="auto"/>
        <w:left w:val="none" w:sz="0" w:space="0" w:color="auto"/>
        <w:bottom w:val="none" w:sz="0" w:space="0" w:color="auto"/>
        <w:right w:val="none" w:sz="0" w:space="0" w:color="auto"/>
      </w:divBdr>
    </w:div>
    <w:div w:id="500438602">
      <w:bodyDiv w:val="1"/>
      <w:marLeft w:val="0"/>
      <w:marRight w:val="0"/>
      <w:marTop w:val="0"/>
      <w:marBottom w:val="0"/>
      <w:divBdr>
        <w:top w:val="none" w:sz="0" w:space="0" w:color="auto"/>
        <w:left w:val="none" w:sz="0" w:space="0" w:color="auto"/>
        <w:bottom w:val="none" w:sz="0" w:space="0" w:color="auto"/>
        <w:right w:val="none" w:sz="0" w:space="0" w:color="auto"/>
      </w:divBdr>
    </w:div>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 w:id="728067395">
      <w:bodyDiv w:val="1"/>
      <w:marLeft w:val="0"/>
      <w:marRight w:val="0"/>
      <w:marTop w:val="0"/>
      <w:marBottom w:val="0"/>
      <w:divBdr>
        <w:top w:val="none" w:sz="0" w:space="0" w:color="auto"/>
        <w:left w:val="none" w:sz="0" w:space="0" w:color="auto"/>
        <w:bottom w:val="none" w:sz="0" w:space="0" w:color="auto"/>
        <w:right w:val="none" w:sz="0" w:space="0" w:color="auto"/>
      </w:divBdr>
    </w:div>
    <w:div w:id="743331230">
      <w:bodyDiv w:val="1"/>
      <w:marLeft w:val="0"/>
      <w:marRight w:val="0"/>
      <w:marTop w:val="0"/>
      <w:marBottom w:val="0"/>
      <w:divBdr>
        <w:top w:val="none" w:sz="0" w:space="0" w:color="auto"/>
        <w:left w:val="none" w:sz="0" w:space="0" w:color="auto"/>
        <w:bottom w:val="none" w:sz="0" w:space="0" w:color="auto"/>
        <w:right w:val="none" w:sz="0" w:space="0" w:color="auto"/>
      </w:divBdr>
    </w:div>
    <w:div w:id="812870988">
      <w:bodyDiv w:val="1"/>
      <w:marLeft w:val="0"/>
      <w:marRight w:val="0"/>
      <w:marTop w:val="0"/>
      <w:marBottom w:val="0"/>
      <w:divBdr>
        <w:top w:val="none" w:sz="0" w:space="0" w:color="auto"/>
        <w:left w:val="none" w:sz="0" w:space="0" w:color="auto"/>
        <w:bottom w:val="none" w:sz="0" w:space="0" w:color="auto"/>
        <w:right w:val="none" w:sz="0" w:space="0" w:color="auto"/>
      </w:divBdr>
    </w:div>
    <w:div w:id="1353728679">
      <w:bodyDiv w:val="1"/>
      <w:marLeft w:val="0"/>
      <w:marRight w:val="0"/>
      <w:marTop w:val="0"/>
      <w:marBottom w:val="0"/>
      <w:divBdr>
        <w:top w:val="none" w:sz="0" w:space="0" w:color="auto"/>
        <w:left w:val="none" w:sz="0" w:space="0" w:color="auto"/>
        <w:bottom w:val="none" w:sz="0" w:space="0" w:color="auto"/>
        <w:right w:val="none" w:sz="0" w:space="0" w:color="auto"/>
      </w:divBdr>
    </w:div>
    <w:div w:id="1879392439">
      <w:bodyDiv w:val="1"/>
      <w:marLeft w:val="0"/>
      <w:marRight w:val="0"/>
      <w:marTop w:val="0"/>
      <w:marBottom w:val="0"/>
      <w:divBdr>
        <w:top w:val="none" w:sz="0" w:space="0" w:color="auto"/>
        <w:left w:val="none" w:sz="0" w:space="0" w:color="auto"/>
        <w:bottom w:val="none" w:sz="0" w:space="0" w:color="auto"/>
        <w:right w:val="none" w:sz="0" w:space="0" w:color="auto"/>
      </w:divBdr>
    </w:div>
    <w:div w:id="211224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taedtebaufoerderung.info/"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www.stadt-muenster.de/sessionnet/sessionnetbi/vo0050.php?__kvonr=2004053542"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jpeg"/><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eeeb63-bcea-4fa2-8ee7-fb9838ee2eec">
      <Value>4</Value>
    </TaxCatchAll>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customXsn xmlns="http://schemas.microsoft.com/office/2006/metadata/customXsn">
  <xsnLocation/>
  <cached>True</cached>
  <openByDefault>True</openByDefault>
  <xsnScope/>
</customXsn>
</file>

<file path=customXml/item4.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2" ma:contentTypeDescription="Ein neues Dokument erstellen." ma:contentTypeScope="" ma:versionID="4b1772f50ceb05b6e4eb9a9930c59079">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06648726b9448a42fc2b3d2804dec3a1"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D35C1A-D9CA-4E82-B4BF-AC9E7E391F80}">
  <ds:schemaRefs>
    <ds:schemaRef ds:uri="http://schemas.microsoft.com/office/2006/documentManagement/types"/>
    <ds:schemaRef ds:uri="http://purl.org/dc/elements/1.1/"/>
    <ds:schemaRef ds:uri="9d24db29-1a5f-4dfa-bec5-101fc44b33a4"/>
    <ds:schemaRef ds:uri="http://purl.org/dc/dcmitype/"/>
    <ds:schemaRef ds:uri="http://purl.org/dc/terms/"/>
    <ds:schemaRef ds:uri="http://schemas.microsoft.com/office/infopath/2007/PartnerControls"/>
    <ds:schemaRef ds:uri="http://www.w3.org/XML/1998/namespace"/>
    <ds:schemaRef ds:uri="http://schemas.openxmlformats.org/package/2006/metadata/core-properties"/>
    <ds:schemaRef ds:uri="60eeeb63-bcea-4fa2-8ee7-fb9838ee2eec"/>
    <ds:schemaRef ds:uri="http://schemas.microsoft.com/office/2006/metadata/properties"/>
  </ds:schemaRefs>
</ds:datastoreItem>
</file>

<file path=customXml/itemProps2.xml><?xml version="1.0" encoding="utf-8"?>
<ds:datastoreItem xmlns:ds="http://schemas.openxmlformats.org/officeDocument/2006/customXml" ds:itemID="{B24CD7C9-CEB2-4813-A83D-A9316C8CB2D6}">
  <ds:schemaRefs>
    <ds:schemaRef ds:uri="http://schemas.openxmlformats.org/officeDocument/2006/bibliography"/>
  </ds:schemaRefs>
</ds:datastoreItem>
</file>

<file path=customXml/itemProps3.xml><?xml version="1.0" encoding="utf-8"?>
<ds:datastoreItem xmlns:ds="http://schemas.openxmlformats.org/officeDocument/2006/customXml" ds:itemID="{D59BF6F2-757E-4D79-881D-EDD20EA2FFC6}">
  <ds:schemaRefs>
    <ds:schemaRef ds:uri="http://schemas.microsoft.com/office/2006/metadata/customXsn"/>
  </ds:schemaRefs>
</ds:datastoreItem>
</file>

<file path=customXml/itemProps4.xml><?xml version="1.0" encoding="utf-8"?>
<ds:datastoreItem xmlns:ds="http://schemas.openxmlformats.org/officeDocument/2006/customXml" ds:itemID="{F2F16CCC-3885-4D84-8D9F-15C8F70DB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5595467-6874-4C32-B6D9-7799F2973C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1209</Words>
  <Characters>9530</Characters>
  <Application>Microsoft Office Word</Application>
  <DocSecurity>0</DocSecurity>
  <Lines>161</Lines>
  <Paragraphs>48</Paragraphs>
  <ScaleCrop>false</ScaleCrop>
  <HeadingPairs>
    <vt:vector size="2" baseType="variant">
      <vt:variant>
        <vt:lpstr>Titel</vt:lpstr>
      </vt:variant>
      <vt:variant>
        <vt:i4>1</vt:i4>
      </vt:variant>
    </vt:vector>
  </HeadingPairs>
  <TitlesOfParts>
    <vt:vector size="1" baseType="lpstr">
      <vt:lpstr>Zentrale Bestandteile für Verträge: Wärmenutzung aus Abwasser</vt:lpstr>
    </vt:vector>
  </TitlesOfParts>
  <Company>Difu</Company>
  <LinksUpToDate>false</LinksUpToDate>
  <CharactersWithSpaces>10691</CharactersWithSpaces>
  <SharedDoc>false</SharedDoc>
  <HLinks>
    <vt:vector size="60" baseType="variant">
      <vt:variant>
        <vt:i4>3407888</vt:i4>
      </vt:variant>
      <vt:variant>
        <vt:i4>27</vt:i4>
      </vt:variant>
      <vt:variant>
        <vt:i4>0</vt:i4>
      </vt:variant>
      <vt:variant>
        <vt:i4>5</vt:i4>
      </vt:variant>
      <vt:variant>
        <vt:lpwstr>https://www.klimaschutz-niedersachsen.de/_downloads/FaktenpapiereLeitfaeden/2022-01-05_Musterfestsetzung_Verbot-fossile-Brennstoffe.pdf?m=1641986229&amp;</vt:lpwstr>
      </vt:variant>
      <vt:variant>
        <vt:lpwstr/>
      </vt:variant>
      <vt:variant>
        <vt:i4>655387</vt:i4>
      </vt:variant>
      <vt:variant>
        <vt:i4>24</vt:i4>
      </vt:variant>
      <vt:variant>
        <vt:i4>0</vt:i4>
      </vt:variant>
      <vt:variant>
        <vt:i4>5</vt:i4>
      </vt:variant>
      <vt:variant>
        <vt:lpwstr>https://www.klimaschutz-niedersachsen.de/aktuelles/Musterbegruendung-zur-Festsetzung-von-PV-Anlagen-in-Bebauungsplaenen-1854</vt:lpwstr>
      </vt:variant>
      <vt:variant>
        <vt:lpwstr/>
      </vt:variant>
      <vt:variant>
        <vt:i4>7602186</vt:i4>
      </vt:variant>
      <vt:variant>
        <vt:i4>21</vt:i4>
      </vt:variant>
      <vt:variant>
        <vt:i4>0</vt:i4>
      </vt:variant>
      <vt:variant>
        <vt:i4>5</vt:i4>
      </vt:variant>
      <vt:variant>
        <vt:lpwstr>https://difu.de/sites/default/files/bericht_klimaschutz_bauleitplanung_fuer_veroeffentlichung__langfassung_jsp.pdf</vt:lpwstr>
      </vt:variant>
      <vt:variant>
        <vt:lpwstr/>
      </vt:variant>
      <vt:variant>
        <vt:i4>7995412</vt:i4>
      </vt:variant>
      <vt:variant>
        <vt:i4>18</vt:i4>
      </vt:variant>
      <vt:variant>
        <vt:i4>0</vt:i4>
      </vt:variant>
      <vt:variant>
        <vt:i4>5</vt:i4>
      </vt:variant>
      <vt:variant>
        <vt:lpwstr>https://www.klimaschutz-niedersachsen.de/_downloads/FaktenpapiereLeitfaeden/2021-03-17_PV-Kommunen_Faktenpapier-2.pdf</vt:lpwstr>
      </vt:variant>
      <vt:variant>
        <vt:lpwstr/>
      </vt:variant>
      <vt:variant>
        <vt:i4>3866747</vt:i4>
      </vt:variant>
      <vt:variant>
        <vt:i4>15</vt:i4>
      </vt:variant>
      <vt:variant>
        <vt:i4>0</vt:i4>
      </vt:variant>
      <vt:variant>
        <vt:i4>5</vt:i4>
      </vt:variant>
      <vt:variant>
        <vt:lpwstr>https://klimaneutrales.rlp.de/handbuch-2/i-staedtebaurechtliche-instrumente/2-staedtebaulicher-vertrag</vt:lpwstr>
      </vt:variant>
      <vt:variant>
        <vt:lpwstr/>
      </vt:variant>
      <vt:variant>
        <vt:i4>2883691</vt:i4>
      </vt:variant>
      <vt:variant>
        <vt:i4>12</vt:i4>
      </vt:variant>
      <vt:variant>
        <vt:i4>0</vt:i4>
      </vt:variant>
      <vt:variant>
        <vt:i4>5</vt:i4>
      </vt:variant>
      <vt:variant>
        <vt:lpwstr>https://www.energieagentur.rlp.de/fileadmin/user_upload/Bauleitplanung/20230526_Faktenpapier_staedtebaul_Vertrag.pdf</vt:lpwstr>
      </vt:variant>
      <vt:variant>
        <vt:lpwstr/>
      </vt:variant>
      <vt:variant>
        <vt:i4>852092</vt:i4>
      </vt:variant>
      <vt:variant>
        <vt:i4>9</vt:i4>
      </vt:variant>
      <vt:variant>
        <vt:i4>0</vt:i4>
      </vt:variant>
      <vt:variant>
        <vt:i4>5</vt:i4>
      </vt:variant>
      <vt:variant>
        <vt:lpwstr>https://www.google.com/url?sa=t&amp;source=web&amp;rct=j&amp;opi=89978449&amp;url=https://www.hannover.de/content/download/426260/file/plaungshandbuchkronsberg.pdf&amp;ved=2ahUKEwjem4mx1MaGAxWB0QIHHe3-ApAQFnoECBgQAQ&amp;usg=AOvVaw0LbSaE2e_fTMH2oYT2cmub</vt:lpwstr>
      </vt:variant>
      <vt:variant>
        <vt:lpwstr/>
      </vt:variant>
      <vt:variant>
        <vt:i4>6553715</vt:i4>
      </vt:variant>
      <vt:variant>
        <vt:i4>6</vt:i4>
      </vt:variant>
      <vt:variant>
        <vt:i4>0</vt:i4>
      </vt:variant>
      <vt:variant>
        <vt:i4>5</vt:i4>
      </vt:variant>
      <vt:variant>
        <vt:lpwstr>https://www.freiburg.de/pb/208100.html</vt:lpwstr>
      </vt:variant>
      <vt:variant>
        <vt:lpwstr/>
      </vt:variant>
      <vt:variant>
        <vt:i4>1638416</vt:i4>
      </vt:variant>
      <vt:variant>
        <vt:i4>3</vt:i4>
      </vt:variant>
      <vt:variant>
        <vt:i4>0</vt:i4>
      </vt:variant>
      <vt:variant>
        <vt:i4>5</vt:i4>
      </vt:variant>
      <vt:variant>
        <vt:lpwstr>https://www.c40.org/de/case-studies/the-bahnstadt-project-in-heidelberg/</vt:lpwstr>
      </vt:variant>
      <vt:variant>
        <vt:lpwstr/>
      </vt:variant>
      <vt:variant>
        <vt:i4>983048</vt:i4>
      </vt:variant>
      <vt:variant>
        <vt:i4>0</vt:i4>
      </vt:variant>
      <vt:variant>
        <vt:i4>0</vt:i4>
      </vt:variant>
      <vt:variant>
        <vt:i4>5</vt:i4>
      </vt:variant>
      <vt:variant>
        <vt:lpwstr>https://www.gesetze-im-internet.de/bbaug/__11.html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Zentrale Bestandteile für Verträge: Wärmenutzung aus Abwasser</dc:title>
  <dc:subject/>
  <dc:creator>Agentur für kommunalen Klimaschutz</dc:creator>
  <cp:keywords/>
  <dc:description/>
  <cp:lastModifiedBy>Bela Gudermuth</cp:lastModifiedBy>
  <cp:revision>9</cp:revision>
  <cp:lastPrinted>2025-01-30T12:21:00Z</cp:lastPrinted>
  <dcterms:created xsi:type="dcterms:W3CDTF">2025-10-21T14:43:00Z</dcterms:created>
  <dcterms:modified xsi:type="dcterms:W3CDTF">2025-11-03T10:34:00Z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MediaServiceImageTags">
    <vt:lpwstr/>
  </property>
  <property fmtid="{D5CDD505-2E9C-101B-9397-08002B2CF9AE}" pid="4" name="SiteCollectionTag">
    <vt:lpwstr>4;#KB5|a09c84fc-6e41-4b50-a408-c84a7ec81051</vt:lpwstr>
  </property>
</Properties>
</file>