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949F4" w14:textId="34EE454D" w:rsidR="00614D85" w:rsidRDefault="0020613C" w:rsidP="00614D85">
      <w:pPr>
        <w:pStyle w:val="berschrift1"/>
      </w:pPr>
      <w:bookmarkStart w:id="0" w:name="_GoBack"/>
      <w:bookmarkEnd w:id="0"/>
      <w:r>
        <w:t xml:space="preserve">Beispiele / Muster-Formulierungen für Beschlüsse und </w:t>
      </w:r>
      <w:r w:rsidR="002159B8">
        <w:br/>
      </w:r>
      <w:r>
        <w:t>Beschlussvorlagen mit Vorgaben für städtebauliche Verträge</w:t>
      </w:r>
    </w:p>
    <w:p w14:paraId="7442A88B" w14:textId="77777777" w:rsidR="00614D85" w:rsidRPr="00614D85" w:rsidRDefault="00614D85" w:rsidP="00614D85"/>
    <w:p w14:paraId="27F78F1E" w14:textId="302352BA" w:rsidR="00614D85" w:rsidRPr="00747698" w:rsidRDefault="00614D85" w:rsidP="00614D85">
      <w:pPr>
        <w:pStyle w:val="berschrift2"/>
      </w:pPr>
      <w:r>
        <w:rPr>
          <w:rFonts w:eastAsia="Arial"/>
        </w:rPr>
        <w:t>im Rahmen der Ausarbeitung zum Instrument „Städtebauliche Verträge</w:t>
      </w:r>
    </w:p>
    <w:p w14:paraId="01286AB1" w14:textId="3B1DC6B5" w:rsidR="00BA0BF6" w:rsidRPr="00BA0BF6" w:rsidRDefault="00BA0BF6">
      <w:pPr>
        <w:rPr>
          <w:rFonts w:cs="Arial"/>
        </w:rPr>
      </w:pPr>
      <w:r w:rsidRPr="00BA0BF6">
        <w:rPr>
          <w:rFonts w:cs="Arial"/>
        </w:rPr>
        <w:t>__________________________________________________________________________</w:t>
      </w:r>
    </w:p>
    <w:p w14:paraId="5AC6C859" w14:textId="77777777" w:rsidR="0020613C" w:rsidRDefault="0020613C" w:rsidP="0020613C">
      <w:r>
        <w:t>Bereits in Beschlussvorlagen und Beschlüssen der Kommunen können Festlegungen getroffen werden, wie städtebauliche Verträge und Klimaschutzbelange darin ausgestaltet oder geregelt werden sollen:</w:t>
      </w:r>
    </w:p>
    <w:p w14:paraId="1700E5BC" w14:textId="77777777" w:rsidR="0020613C" w:rsidRDefault="0020613C" w:rsidP="0020613C"/>
    <w:p w14:paraId="187A2A40" w14:textId="77777777" w:rsidR="0020613C" w:rsidRDefault="0020613C" w:rsidP="0020613C">
      <w:r>
        <w:t>„In allen städtebaulichen Verträgen und in Vorhaben- und Erschließungsplänen soll mit den Vertragspartnern vereinbart werden, geeignete Dachflächen von Neubauten für die Installation von Photovoltaik-Anlagen zu nutzen.“</w:t>
      </w:r>
    </w:p>
    <w:p w14:paraId="21B3A1A2" w14:textId="77777777" w:rsidR="0020613C" w:rsidRDefault="0020613C" w:rsidP="0020613C">
      <w:r>
        <w:t>„In städtebaulichen Verträgen, die zukünftig geschlossen werden, soll die Fernwärme-Versorgung festgelegt werden“.</w:t>
      </w:r>
    </w:p>
    <w:p w14:paraId="034C892A" w14:textId="77777777" w:rsidR="0020613C" w:rsidRDefault="0020613C" w:rsidP="0020613C">
      <w:r>
        <w:t xml:space="preserve">„[Es] wird mindestens der Effizienzhaus-Standard 40 (für neue Büro- und Dienstleistungsgebäude) beim Verkauf städtischer Grundstücke und in Verträgen mit Investoren verbindlich und überprüfbar vereinbart.“ </w:t>
      </w:r>
    </w:p>
    <w:p w14:paraId="2A36C469" w14:textId="77777777" w:rsidR="0020613C" w:rsidRDefault="0020613C" w:rsidP="0020613C">
      <w:r>
        <w:t xml:space="preserve">„In zukünftigen städtebaulichen Verträgen, die mit Investoren geschlossen werden, soll der Passivhaus-Standard für das jeweilige Baugebiet festgehalten werden“. </w:t>
      </w:r>
    </w:p>
    <w:p w14:paraId="1B9C6B22" w14:textId="77777777" w:rsidR="0020613C" w:rsidRPr="0020613C" w:rsidRDefault="0020613C" w:rsidP="0020613C"/>
    <w:p w14:paraId="2B95E673" w14:textId="6AD5E986" w:rsidR="00BA0BF6" w:rsidRPr="00BA0BF6" w:rsidRDefault="009904B2" w:rsidP="008D1697">
      <w:pPr>
        <w:rPr>
          <w:rFonts w:eastAsia="Arial" w:cs="Arial"/>
        </w:rPr>
      </w:pPr>
      <w:r>
        <w:rPr>
          <w:rFonts w:eastAsia="Arial" w:cs="Arial"/>
          <w:noProof/>
          <w:lang w:eastAsia="de-DE"/>
        </w:rPr>
        <mc:AlternateContent>
          <mc:Choice Requires="wps">
            <w:drawing>
              <wp:inline distT="0" distB="0" distL="0" distR="0" wp14:anchorId="6433076B" wp14:editId="6DAC2ABB">
                <wp:extent cx="5844208" cy="3180522"/>
                <wp:effectExtent l="0" t="0" r="4445" b="1270"/>
                <wp:docPr id="5" name="Textfeld 5"/>
                <wp:cNvGraphicFramePr/>
                <a:graphic xmlns:a="http://schemas.openxmlformats.org/drawingml/2006/main">
                  <a:graphicData uri="http://schemas.microsoft.com/office/word/2010/wordprocessingShape">
                    <wps:wsp>
                      <wps:cNvSpPr txBox="1"/>
                      <wps:spPr>
                        <a:xfrm>
                          <a:off x="0" y="0"/>
                          <a:ext cx="5844208" cy="3180522"/>
                        </a:xfrm>
                        <a:prstGeom prst="rect">
                          <a:avLst/>
                        </a:prstGeom>
                        <a:solidFill>
                          <a:schemeClr val="lt1"/>
                        </a:solidFill>
                        <a:ln w="6350">
                          <a:noFill/>
                        </a:ln>
                      </wps:spPr>
                      <wps:txbx>
                        <w:txbxContent>
                          <w:p w14:paraId="62BD8E46" w14:textId="77777777" w:rsidR="009904B2" w:rsidRDefault="009904B2" w:rsidP="009904B2">
                            <w:pPr>
                              <w:pBdr>
                                <w:bottom w:val="single" w:sz="4" w:space="1" w:color="auto"/>
                              </w:pBdr>
                              <w:rPr>
                                <w:b/>
                              </w:rPr>
                            </w:pPr>
                          </w:p>
                          <w:p w14:paraId="382E408A" w14:textId="0B650E58" w:rsidR="00AD332B" w:rsidRDefault="00F64E18" w:rsidP="00F64E18">
                            <w:pPr>
                              <w:pStyle w:val="berschrift2"/>
                            </w:pPr>
                            <w:r>
                              <w:t>Impressum</w:t>
                            </w:r>
                          </w:p>
                          <w:p w14:paraId="05DD3217" w14:textId="50827779" w:rsidR="009904B2" w:rsidRPr="00696D9A" w:rsidRDefault="009904B2" w:rsidP="009904B2">
                            <w:r w:rsidRPr="00F64E18">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6FA671CB" w14:textId="456ADA3B" w:rsidR="00F64E18" w:rsidRDefault="00F64E18" w:rsidP="009904B2">
                            <w:r>
                              <w:t>Die Ausarbeitungen zum Instrument „Städtebauliche Verträge“ sind in Zusammenarbeit mit dem Institut für Energie- und Umweltforschung (</w:t>
                            </w:r>
                            <w:proofErr w:type="spellStart"/>
                            <w:r>
                              <w:t>ifeu</w:t>
                            </w:r>
                            <w:proofErr w:type="spellEnd"/>
                            <w:r>
                              <w:t>) entstanden.</w:t>
                            </w:r>
                          </w:p>
                          <w:p w14:paraId="0DB97D8F" w14:textId="6D80576A"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433076B" id="_x0000_t202" coordsize="21600,21600" o:spt="202" path="m,l,21600r21600,l21600,xe">
                <v:stroke joinstyle="miter"/>
                <v:path gradientshapeok="t" o:connecttype="rect"/>
              </v:shapetype>
              <v:shape id="Textfeld 5" o:spid="_x0000_s1026" type="#_x0000_t202" style="width:460.15pt;height:25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" fillcolor="white [3201]" stroked="f" strokeweight=".5pt">
                <v:textbox>
                  <w:txbxContent>
                    <w:p w14:paraId="62BD8E46" w14:textId="77777777" w:rsidR="009904B2" w:rsidRDefault="009904B2" w:rsidP="009904B2">
                      <w:pPr>
                        <w:pBdr>
                          <w:bottom w:val="single" w:sz="4" w:space="1" w:color="auto"/>
                        </w:pBdr>
                        <w:rPr>
                          <w:b/>
                        </w:rPr>
                      </w:pPr>
                    </w:p>
                    <w:p w14:paraId="382E408A" w14:textId="0B650E58" w:rsidR="00AD332B" w:rsidRDefault="00F64E18" w:rsidP="00F64E18">
                      <w:pPr>
                        <w:pStyle w:val="berschrift2"/>
                      </w:pPr>
                      <w:r>
                        <w:t>Impressum</w:t>
                      </w:r>
                    </w:p>
                    <w:p w14:paraId="05DD3217" w14:textId="50827779" w:rsidR="009904B2" w:rsidRPr="00696D9A" w:rsidRDefault="009904B2" w:rsidP="009904B2">
                      <w:r w:rsidRPr="00F64E18">
                        <w:rPr>
                          <w:rStyle w:val="berschrift3Zchn"/>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6FA671CB" w14:textId="456ADA3B" w:rsidR="00F64E18" w:rsidRDefault="00F64E18" w:rsidP="009904B2">
                      <w:r>
                        <w:t>Die Ausarbeitungen zum Instrument „Städtebauliche Verträge“ sind in Zusammenarbeit mit dem Institut für Energie- und Umw</w:t>
                      </w:r>
                      <w:r>
                        <w:t>eltforschung (ifeu) entstanden.</w:t>
                      </w:r>
                    </w:p>
                    <w:p w14:paraId="0DB97D8F" w14:textId="6D80576A"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BA0BF6" w:rsidRPr="00BA0BF6" w:rsidSect="00034B0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32D0E8" w16cid:durableId="2A5625D9"/>
  <w16cid:commentId w16cid:paraId="4200E569" w16cid:durableId="2A56272A"/>
  <w16cid:commentId w16cid:paraId="72D91852" w16cid:durableId="2A5627C3"/>
  <w16cid:commentId w16cid:paraId="1C47D684" w16cid:durableId="2A562814"/>
  <w16cid:commentId w16cid:paraId="6F724022" w16cid:durableId="2A562872"/>
  <w16cid:commentId w16cid:paraId="37845DE6" w16cid:durableId="2A564BA7"/>
  <w16cid:commentId w16cid:paraId="6F814876" w16cid:durableId="2A564C98"/>
  <w16cid:commentId w16cid:paraId="3B771302" w16cid:durableId="2A564D51"/>
  <w16cid:commentId w16cid:paraId="3A2478FD" w16cid:durableId="2A5B39A2"/>
  <w16cid:commentId w16cid:paraId="38F8569F" w16cid:durableId="2A5B3A32"/>
  <w16cid:commentId w16cid:paraId="4DF1C211" w16cid:durableId="2A564F6F"/>
  <w16cid:commentId w16cid:paraId="11F26DCE" w16cid:durableId="2A5B3A12"/>
  <w16cid:commentId w16cid:paraId="1AAA7D39" w16cid:durableId="2A56502F"/>
  <w16cid:commentId w16cid:paraId="0DB88B9E" w16cid:durableId="2A5653BF"/>
  <w16cid:commentId w16cid:paraId="6F9BEE20" w16cid:durableId="2A565340"/>
  <w16cid:commentId w16cid:paraId="105B4214" w16cid:durableId="2A56539D"/>
  <w16cid:commentId w16cid:paraId="6C223AF0" w16cid:durableId="2A5653AA"/>
  <w16cid:commentId w16cid:paraId="2B097570" w16cid:durableId="2A5653E5"/>
  <w16cid:commentId w16cid:paraId="3CA8465A" w16cid:durableId="2A565559"/>
  <w16cid:commentId w16cid:paraId="0CC4B630" w16cid:durableId="2A565756"/>
  <w16cid:commentId w16cid:paraId="7CDD22B8" w16cid:durableId="2A5658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20F5FBA5" w14:textId="23745749"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20613C">
          <w:rPr>
            <w:rFonts w:cs="Arial"/>
            <w:noProof/>
          </w:rPr>
          <w:t>3</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7A1142"/>
    <w:multiLevelType w:val="hybridMultilevel"/>
    <w:tmpl w:val="393AD0A6"/>
    <w:lvl w:ilvl="0" w:tplc="00EA85A2">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B0F4648"/>
    <w:multiLevelType w:val="hybridMultilevel"/>
    <w:tmpl w:val="89DC29D2"/>
    <w:lvl w:ilvl="0" w:tplc="AB208500">
      <w:start w:val="1"/>
      <w:numFmt w:val="bullet"/>
      <w:pStyle w:val="BuletinBC"/>
      <w:lvlText w:val=""/>
      <w:lvlJc w:val="left"/>
      <w:pPr>
        <w:ind w:left="-1056" w:hanging="360"/>
      </w:pPr>
      <w:rPr>
        <w:rFonts w:ascii="Symbol" w:hAnsi="Symbol" w:hint="default"/>
      </w:rPr>
    </w:lvl>
    <w:lvl w:ilvl="1" w:tplc="04070003">
      <w:start w:val="1"/>
      <w:numFmt w:val="bullet"/>
      <w:lvlText w:val="o"/>
      <w:lvlJc w:val="left"/>
      <w:pPr>
        <w:ind w:left="-336" w:hanging="360"/>
      </w:pPr>
      <w:rPr>
        <w:rFonts w:ascii="Courier New" w:hAnsi="Courier New" w:cs="Courier New" w:hint="default"/>
      </w:rPr>
    </w:lvl>
    <w:lvl w:ilvl="2" w:tplc="EEDAC7D0">
      <w:numFmt w:val="bullet"/>
      <w:lvlText w:val="·"/>
      <w:lvlJc w:val="left"/>
      <w:pPr>
        <w:ind w:left="588" w:hanging="564"/>
      </w:pPr>
      <w:rPr>
        <w:rFonts w:ascii="Arial" w:eastAsia="Times New Roman" w:hAnsi="Arial" w:cs="Arial" w:hint="default"/>
      </w:rPr>
    </w:lvl>
    <w:lvl w:ilvl="3" w:tplc="AE324342">
      <w:start w:val="324"/>
      <w:numFmt w:val="bullet"/>
      <w:lvlText w:val=""/>
      <w:lvlJc w:val="left"/>
      <w:pPr>
        <w:ind w:left="1104" w:hanging="360"/>
      </w:pPr>
      <w:rPr>
        <w:rFonts w:ascii="Wingdings" w:eastAsia="Times New Roman" w:hAnsi="Wingdings" w:cs="Arial" w:hint="default"/>
      </w:rPr>
    </w:lvl>
    <w:lvl w:ilvl="4" w:tplc="04070003" w:tentative="1">
      <w:start w:val="1"/>
      <w:numFmt w:val="bullet"/>
      <w:lvlText w:val="o"/>
      <w:lvlJc w:val="left"/>
      <w:pPr>
        <w:ind w:left="1824" w:hanging="360"/>
      </w:pPr>
      <w:rPr>
        <w:rFonts w:ascii="Courier New" w:hAnsi="Courier New" w:cs="Courier New" w:hint="default"/>
      </w:rPr>
    </w:lvl>
    <w:lvl w:ilvl="5" w:tplc="04070005" w:tentative="1">
      <w:start w:val="1"/>
      <w:numFmt w:val="bullet"/>
      <w:lvlText w:val=""/>
      <w:lvlJc w:val="left"/>
      <w:pPr>
        <w:ind w:left="2544" w:hanging="360"/>
      </w:pPr>
      <w:rPr>
        <w:rFonts w:ascii="Wingdings" w:hAnsi="Wingdings" w:hint="default"/>
      </w:rPr>
    </w:lvl>
    <w:lvl w:ilvl="6" w:tplc="04070001" w:tentative="1">
      <w:start w:val="1"/>
      <w:numFmt w:val="bullet"/>
      <w:lvlText w:val=""/>
      <w:lvlJc w:val="left"/>
      <w:pPr>
        <w:ind w:left="3264" w:hanging="360"/>
      </w:pPr>
      <w:rPr>
        <w:rFonts w:ascii="Symbol" w:hAnsi="Symbol" w:hint="default"/>
      </w:rPr>
    </w:lvl>
    <w:lvl w:ilvl="7" w:tplc="04070003" w:tentative="1">
      <w:start w:val="1"/>
      <w:numFmt w:val="bullet"/>
      <w:lvlText w:val="o"/>
      <w:lvlJc w:val="left"/>
      <w:pPr>
        <w:ind w:left="3984" w:hanging="360"/>
      </w:pPr>
      <w:rPr>
        <w:rFonts w:ascii="Courier New" w:hAnsi="Courier New" w:cs="Courier New" w:hint="default"/>
      </w:rPr>
    </w:lvl>
    <w:lvl w:ilvl="8" w:tplc="04070005" w:tentative="1">
      <w:start w:val="1"/>
      <w:numFmt w:val="bullet"/>
      <w:lvlText w:val=""/>
      <w:lvlJc w:val="left"/>
      <w:pPr>
        <w:ind w:left="4704" w:hanging="360"/>
      </w:pPr>
      <w:rPr>
        <w:rFonts w:ascii="Wingdings" w:hAnsi="Wingdings" w:hint="default"/>
      </w:rPr>
    </w:lvl>
  </w:abstractNum>
  <w:abstractNum w:abstractNumId="17"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5D3302"/>
    <w:multiLevelType w:val="hybridMultilevel"/>
    <w:tmpl w:val="40381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4"/>
  </w:num>
  <w:num w:numId="4">
    <w:abstractNumId w:val="21"/>
  </w:num>
  <w:num w:numId="5">
    <w:abstractNumId w:val="0"/>
  </w:num>
  <w:num w:numId="6">
    <w:abstractNumId w:val="9"/>
  </w:num>
  <w:num w:numId="7">
    <w:abstractNumId w:val="17"/>
  </w:num>
  <w:num w:numId="8">
    <w:abstractNumId w:val="2"/>
  </w:num>
  <w:num w:numId="9">
    <w:abstractNumId w:val="15"/>
  </w:num>
  <w:num w:numId="10">
    <w:abstractNumId w:val="16"/>
  </w:num>
  <w:num w:numId="11">
    <w:abstractNumId w:val="23"/>
  </w:num>
  <w:num w:numId="12">
    <w:abstractNumId w:val="19"/>
  </w:num>
  <w:num w:numId="13">
    <w:abstractNumId w:val="1"/>
  </w:num>
  <w:num w:numId="14">
    <w:abstractNumId w:val="26"/>
  </w:num>
  <w:num w:numId="15">
    <w:abstractNumId w:val="3"/>
  </w:num>
  <w:num w:numId="16">
    <w:abstractNumId w:val="25"/>
  </w:num>
  <w:num w:numId="17">
    <w:abstractNumId w:val="22"/>
  </w:num>
  <w:num w:numId="18">
    <w:abstractNumId w:val="5"/>
  </w:num>
  <w:num w:numId="19">
    <w:abstractNumId w:val="4"/>
  </w:num>
  <w:num w:numId="20">
    <w:abstractNumId w:val="10"/>
  </w:num>
  <w:num w:numId="21">
    <w:abstractNumId w:val="13"/>
  </w:num>
  <w:num w:numId="22">
    <w:abstractNumId w:val="12"/>
  </w:num>
  <w:num w:numId="23">
    <w:abstractNumId w:val="24"/>
  </w:num>
  <w:num w:numId="24">
    <w:abstractNumId w:val="11"/>
  </w:num>
  <w:num w:numId="25">
    <w:abstractNumId w:val="20"/>
  </w:num>
  <w:num w:numId="26">
    <w:abstractNumId w:val="7"/>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97"/>
    <w:rsid w:val="00005F84"/>
    <w:rsid w:val="00034B07"/>
    <w:rsid w:val="00036B21"/>
    <w:rsid w:val="00080D52"/>
    <w:rsid w:val="00090BAF"/>
    <w:rsid w:val="0009546D"/>
    <w:rsid w:val="000F2697"/>
    <w:rsid w:val="000F2B57"/>
    <w:rsid w:val="00113A3F"/>
    <w:rsid w:val="00126235"/>
    <w:rsid w:val="0013448F"/>
    <w:rsid w:val="0014329E"/>
    <w:rsid w:val="001510E0"/>
    <w:rsid w:val="001635AE"/>
    <w:rsid w:val="00164707"/>
    <w:rsid w:val="0018125B"/>
    <w:rsid w:val="001A745B"/>
    <w:rsid w:val="001B5905"/>
    <w:rsid w:val="001C23F9"/>
    <w:rsid w:val="001D7DBF"/>
    <w:rsid w:val="001E4DE7"/>
    <w:rsid w:val="001E78F3"/>
    <w:rsid w:val="001F7849"/>
    <w:rsid w:val="0020613C"/>
    <w:rsid w:val="002159B8"/>
    <w:rsid w:val="002258EC"/>
    <w:rsid w:val="00231F3E"/>
    <w:rsid w:val="00235281"/>
    <w:rsid w:val="0026207B"/>
    <w:rsid w:val="00281D28"/>
    <w:rsid w:val="00283E74"/>
    <w:rsid w:val="00287CB5"/>
    <w:rsid w:val="002A04D9"/>
    <w:rsid w:val="002A44CA"/>
    <w:rsid w:val="002B7EE0"/>
    <w:rsid w:val="002C46F0"/>
    <w:rsid w:val="002E71FD"/>
    <w:rsid w:val="003031D5"/>
    <w:rsid w:val="0031391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66CD"/>
    <w:rsid w:val="005067B1"/>
    <w:rsid w:val="0053034C"/>
    <w:rsid w:val="00532011"/>
    <w:rsid w:val="00591F13"/>
    <w:rsid w:val="005F10C2"/>
    <w:rsid w:val="005F2852"/>
    <w:rsid w:val="00614D85"/>
    <w:rsid w:val="00644C67"/>
    <w:rsid w:val="00696D9A"/>
    <w:rsid w:val="006C2AC8"/>
    <w:rsid w:val="006D4C39"/>
    <w:rsid w:val="006F7713"/>
    <w:rsid w:val="00705239"/>
    <w:rsid w:val="0071398A"/>
    <w:rsid w:val="00747698"/>
    <w:rsid w:val="007D7948"/>
    <w:rsid w:val="008003B7"/>
    <w:rsid w:val="0084322F"/>
    <w:rsid w:val="00856B20"/>
    <w:rsid w:val="008743B6"/>
    <w:rsid w:val="00881ECB"/>
    <w:rsid w:val="008932A5"/>
    <w:rsid w:val="008A734D"/>
    <w:rsid w:val="008B3281"/>
    <w:rsid w:val="008D1697"/>
    <w:rsid w:val="008F3259"/>
    <w:rsid w:val="008F725F"/>
    <w:rsid w:val="009023F8"/>
    <w:rsid w:val="00926142"/>
    <w:rsid w:val="009314F6"/>
    <w:rsid w:val="009358D0"/>
    <w:rsid w:val="009839EF"/>
    <w:rsid w:val="009904B2"/>
    <w:rsid w:val="009922B4"/>
    <w:rsid w:val="009A00E5"/>
    <w:rsid w:val="009A2D6E"/>
    <w:rsid w:val="00A06862"/>
    <w:rsid w:val="00A5166C"/>
    <w:rsid w:val="00A524B5"/>
    <w:rsid w:val="00AD332B"/>
    <w:rsid w:val="00AF4977"/>
    <w:rsid w:val="00B105D8"/>
    <w:rsid w:val="00B3645A"/>
    <w:rsid w:val="00B967C4"/>
    <w:rsid w:val="00BA0BF6"/>
    <w:rsid w:val="00BB13C5"/>
    <w:rsid w:val="00BB1700"/>
    <w:rsid w:val="00BE17DB"/>
    <w:rsid w:val="00BE35F1"/>
    <w:rsid w:val="00C015B5"/>
    <w:rsid w:val="00C0330B"/>
    <w:rsid w:val="00C239FA"/>
    <w:rsid w:val="00C718D8"/>
    <w:rsid w:val="00C81832"/>
    <w:rsid w:val="00C90323"/>
    <w:rsid w:val="00CA04BF"/>
    <w:rsid w:val="00CB0F38"/>
    <w:rsid w:val="00CB5B3C"/>
    <w:rsid w:val="00CE0FC5"/>
    <w:rsid w:val="00CF4B0A"/>
    <w:rsid w:val="00D03FA7"/>
    <w:rsid w:val="00D10358"/>
    <w:rsid w:val="00D421C2"/>
    <w:rsid w:val="00D74075"/>
    <w:rsid w:val="00D7506D"/>
    <w:rsid w:val="00D92995"/>
    <w:rsid w:val="00DA28E7"/>
    <w:rsid w:val="00DC238B"/>
    <w:rsid w:val="00DD00CF"/>
    <w:rsid w:val="00DD3A42"/>
    <w:rsid w:val="00E10485"/>
    <w:rsid w:val="00E10DD1"/>
    <w:rsid w:val="00E1601C"/>
    <w:rsid w:val="00E34FDF"/>
    <w:rsid w:val="00E35161"/>
    <w:rsid w:val="00E37D15"/>
    <w:rsid w:val="00E41C88"/>
    <w:rsid w:val="00E51AB7"/>
    <w:rsid w:val="00E7445F"/>
    <w:rsid w:val="00EA1042"/>
    <w:rsid w:val="00EE2836"/>
    <w:rsid w:val="00F17257"/>
    <w:rsid w:val="00F2256C"/>
    <w:rsid w:val="00F34B59"/>
    <w:rsid w:val="00F64E18"/>
    <w:rsid w:val="00F92647"/>
    <w:rsid w:val="00F94681"/>
    <w:rsid w:val="00FB36FC"/>
    <w:rsid w:val="00FB41FC"/>
    <w:rsid w:val="00FC33F3"/>
    <w:rsid w:val="00FC42F8"/>
    <w:rsid w:val="00FE5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 w:type="paragraph" w:styleId="Funotentext">
    <w:name w:val="footnote text"/>
    <w:basedOn w:val="Standard"/>
    <w:link w:val="FunotentextZchn"/>
    <w:uiPriority w:val="99"/>
    <w:unhideWhenUsed/>
    <w:rsid w:val="00DA28E7"/>
    <w:pPr>
      <w:spacing w:after="0" w:line="240" w:lineRule="auto"/>
    </w:pPr>
    <w:rPr>
      <w:sz w:val="20"/>
      <w:szCs w:val="20"/>
    </w:rPr>
  </w:style>
  <w:style w:type="character" w:customStyle="1" w:styleId="FunotentextZchn">
    <w:name w:val="Fußnotentext Zchn"/>
    <w:basedOn w:val="Absatz-Standardschriftart"/>
    <w:link w:val="Funotentext"/>
    <w:uiPriority w:val="99"/>
    <w:rsid w:val="00DA28E7"/>
    <w:rPr>
      <w:rFonts w:ascii="Arial" w:hAnsi="Arial"/>
      <w:sz w:val="20"/>
      <w:szCs w:val="20"/>
    </w:rPr>
  </w:style>
  <w:style w:type="character" w:styleId="Funotenzeichen">
    <w:name w:val="footnote reference"/>
    <w:basedOn w:val="Absatz-Standardschriftart"/>
    <w:uiPriority w:val="99"/>
    <w:semiHidden/>
    <w:unhideWhenUsed/>
    <w:rsid w:val="00DA28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2.xml><?xml version="1.0" encoding="utf-8"?>
<ds:datastoreItem xmlns:ds="http://schemas.openxmlformats.org/officeDocument/2006/customXml" ds:itemID="{31B04107-6485-4DCE-B108-A452BBEC7551}">
  <ds:schemaRefs>
    <ds:schemaRef ds:uri="http://schemas.microsoft.com/office/2006/documentManagement/types"/>
    <ds:schemaRef ds:uri="http://schemas.microsoft.com/office/2006/metadata/properties"/>
    <ds:schemaRef ds:uri="9d24db29-1a5f-4dfa-bec5-101fc44b33a4"/>
    <ds:schemaRef ds:uri="http://purl.org/dc/elements/1.1/"/>
    <ds:schemaRef ds:uri="60eeeb63-bcea-4fa2-8ee7-fb9838ee2eec"/>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5.xml><?xml version="1.0" encoding="utf-8"?>
<ds:datastoreItem xmlns:ds="http://schemas.openxmlformats.org/officeDocument/2006/customXml" ds:itemID="{DBE3990D-D603-4FC2-8E5B-A29894DB5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1001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Muster-Formulierungen_für_Beschlüsse</dc:title>
  <dc:subject/>
  <dc:creator>Niederwipper</dc:creator>
  <cp:keywords/>
  <dc:description/>
  <cp:lastModifiedBy>Bela Gudermuth</cp:lastModifiedBy>
  <cp:revision>6</cp:revision>
  <dcterms:created xsi:type="dcterms:W3CDTF">2024-10-31T09:48:00Z</dcterms:created>
  <dcterms:modified xsi:type="dcterms:W3CDTF">2025-05-20T08:38:00Z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